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192571B1"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3E1951">
        <w:rPr>
          <w:rFonts w:ascii="Calibri" w:hAnsi="Calibri" w:cs="Calibri"/>
          <w:i/>
          <w:iCs/>
        </w:rPr>
        <w:t>2</w:t>
      </w:r>
    </w:p>
    <w:p w14:paraId="3EEBF7F3" w14:textId="666491FE" w:rsidR="00C24AC2" w:rsidRPr="00515AA3" w:rsidRDefault="00C24AC2" w:rsidP="00515AA3">
      <w:pPr>
        <w:jc w:val="center"/>
        <w:rPr>
          <w:rFonts w:ascii="Calibri" w:hAnsi="Calibri" w:cs="Calibri"/>
          <w:b/>
          <w:bCs/>
          <w:sz w:val="24"/>
          <w:szCs w:val="24"/>
        </w:rPr>
      </w:pPr>
      <w:r w:rsidRPr="00515AA3">
        <w:rPr>
          <w:rFonts w:ascii="Calibri" w:hAnsi="Calibri" w:cs="Calibri"/>
          <w:b/>
          <w:bCs/>
          <w:sz w:val="24"/>
          <w:szCs w:val="24"/>
        </w:rPr>
        <w:t>OSPITALITÀ PROTAGONISTA: TTG E INOUT ACCENDONO I RIFLETTORI SULL’HOTELLERIE</w:t>
      </w:r>
    </w:p>
    <w:p w14:paraId="63EDF7BF" w14:textId="77777777" w:rsidR="00150B7A" w:rsidRDefault="00150B7A" w:rsidP="00D0488C">
      <w:pPr>
        <w:pStyle w:val="Paragrafoelenco"/>
        <w:numPr>
          <w:ilvl w:val="0"/>
          <w:numId w:val="6"/>
        </w:numPr>
        <w:jc w:val="both"/>
        <w:rPr>
          <w:rFonts w:ascii="Calibri" w:hAnsi="Calibri" w:cs="Calibri"/>
          <w:b/>
          <w:bCs/>
          <w:sz w:val="24"/>
          <w:szCs w:val="24"/>
        </w:rPr>
      </w:pPr>
      <w:r w:rsidRPr="00D0488C">
        <w:rPr>
          <w:rFonts w:ascii="Calibri" w:hAnsi="Calibri" w:cs="Calibri"/>
          <w:b/>
          <w:bCs/>
          <w:sz w:val="24"/>
          <w:szCs w:val="24"/>
        </w:rPr>
        <w:t>Hotel Chains debutta in fiera: un percorso espositivo dedicato alle principali catene alberghiere italiane e internazionali, per scoprire nuovi concept di ospitalità e i progetti di sviluppo del settore</w:t>
      </w:r>
    </w:p>
    <w:p w14:paraId="2BE016E3" w14:textId="77777777" w:rsidR="00D0488C" w:rsidRPr="00D0488C" w:rsidRDefault="00D0488C" w:rsidP="00D0488C">
      <w:pPr>
        <w:pStyle w:val="Paragrafoelenco"/>
        <w:jc w:val="both"/>
        <w:rPr>
          <w:rFonts w:ascii="Calibri" w:hAnsi="Calibri" w:cs="Calibri"/>
          <w:b/>
          <w:bCs/>
          <w:sz w:val="24"/>
          <w:szCs w:val="24"/>
        </w:rPr>
      </w:pPr>
    </w:p>
    <w:p w14:paraId="49896A3C" w14:textId="77508FE5" w:rsidR="00D0488C" w:rsidRDefault="00150B7A" w:rsidP="00D0488C">
      <w:pPr>
        <w:pStyle w:val="Paragrafoelenco"/>
        <w:numPr>
          <w:ilvl w:val="0"/>
          <w:numId w:val="6"/>
        </w:numPr>
        <w:spacing w:after="0" w:line="240" w:lineRule="auto"/>
        <w:ind w:left="714" w:hanging="357"/>
        <w:jc w:val="both"/>
        <w:rPr>
          <w:rFonts w:ascii="Calibri" w:hAnsi="Calibri" w:cs="Calibri"/>
          <w:b/>
          <w:bCs/>
          <w:sz w:val="24"/>
          <w:szCs w:val="24"/>
        </w:rPr>
      </w:pPr>
      <w:r w:rsidRPr="00D0488C">
        <w:rPr>
          <w:rFonts w:ascii="Calibri" w:hAnsi="Calibri" w:cs="Calibri"/>
          <w:b/>
          <w:bCs/>
          <w:sz w:val="24"/>
          <w:szCs w:val="24"/>
        </w:rPr>
        <w:t>Hotel Talks: la parola ai brand: due giorni di confronto con oltre 40 gruppi alberghieri che condividono visioni, strategie e casi di successo</w:t>
      </w:r>
    </w:p>
    <w:p w14:paraId="2A681DAE" w14:textId="77777777" w:rsidR="00D0488C" w:rsidRPr="00D0488C" w:rsidRDefault="00D0488C" w:rsidP="00D0488C">
      <w:pPr>
        <w:spacing w:after="0" w:line="240" w:lineRule="auto"/>
        <w:jc w:val="both"/>
        <w:rPr>
          <w:rFonts w:ascii="Calibri" w:hAnsi="Calibri" w:cs="Calibri"/>
          <w:b/>
          <w:bCs/>
          <w:sz w:val="24"/>
          <w:szCs w:val="24"/>
        </w:rPr>
      </w:pPr>
    </w:p>
    <w:p w14:paraId="2F94CF5C" w14:textId="6CE3E431" w:rsidR="00150B7A" w:rsidRPr="00D0488C" w:rsidRDefault="00150B7A" w:rsidP="00D0488C">
      <w:pPr>
        <w:pStyle w:val="Paragrafoelenco"/>
        <w:numPr>
          <w:ilvl w:val="0"/>
          <w:numId w:val="6"/>
        </w:numPr>
        <w:spacing w:after="0" w:line="240" w:lineRule="auto"/>
        <w:ind w:left="714" w:hanging="357"/>
        <w:jc w:val="both"/>
        <w:rPr>
          <w:rFonts w:ascii="Calibri" w:hAnsi="Calibri" w:cs="Calibri"/>
          <w:b/>
          <w:bCs/>
          <w:sz w:val="24"/>
          <w:szCs w:val="24"/>
        </w:rPr>
      </w:pPr>
      <w:r w:rsidRPr="00D0488C">
        <w:rPr>
          <w:rFonts w:ascii="Calibri" w:hAnsi="Calibri" w:cs="Calibri"/>
          <w:b/>
          <w:bCs/>
          <w:sz w:val="24"/>
          <w:szCs w:val="24"/>
        </w:rPr>
        <w:t xml:space="preserve"> Dibattiti e formazione per il futuro dell’</w:t>
      </w:r>
      <w:proofErr w:type="spellStart"/>
      <w:r w:rsidRPr="00D0488C">
        <w:rPr>
          <w:rFonts w:ascii="Calibri" w:hAnsi="Calibri" w:cs="Calibri"/>
          <w:b/>
          <w:bCs/>
          <w:sz w:val="24"/>
          <w:szCs w:val="24"/>
        </w:rPr>
        <w:t>hospitality</w:t>
      </w:r>
      <w:proofErr w:type="spellEnd"/>
      <w:r w:rsidRPr="00D0488C">
        <w:rPr>
          <w:rFonts w:ascii="Calibri" w:hAnsi="Calibri" w:cs="Calibri"/>
          <w:b/>
          <w:bCs/>
          <w:sz w:val="24"/>
          <w:szCs w:val="24"/>
        </w:rPr>
        <w:t xml:space="preserve">: dalla sfida dell’IA in </w:t>
      </w:r>
      <w:proofErr w:type="spellStart"/>
      <w:r w:rsidRPr="00D0488C">
        <w:rPr>
          <w:rFonts w:ascii="Calibri" w:hAnsi="Calibri" w:cs="Calibri"/>
          <w:b/>
          <w:bCs/>
          <w:sz w:val="24"/>
          <w:szCs w:val="24"/>
        </w:rPr>
        <w:t>Main</w:t>
      </w:r>
      <w:proofErr w:type="spellEnd"/>
      <w:r w:rsidRPr="00D0488C">
        <w:rPr>
          <w:rFonts w:ascii="Calibri" w:hAnsi="Calibri" w:cs="Calibri"/>
          <w:b/>
          <w:bCs/>
          <w:sz w:val="24"/>
          <w:szCs w:val="24"/>
        </w:rPr>
        <w:t xml:space="preserve"> Arena ai workshop su marketing</w:t>
      </w:r>
      <w:r w:rsidR="00D0488C" w:rsidRPr="00D0488C">
        <w:rPr>
          <w:rFonts w:ascii="Calibri" w:hAnsi="Calibri" w:cs="Calibri"/>
          <w:b/>
          <w:bCs/>
          <w:sz w:val="24"/>
          <w:szCs w:val="24"/>
        </w:rPr>
        <w:t>,</w:t>
      </w:r>
      <w:r w:rsidRPr="00D0488C">
        <w:rPr>
          <w:rFonts w:ascii="Calibri" w:hAnsi="Calibri" w:cs="Calibri"/>
          <w:b/>
          <w:bCs/>
          <w:sz w:val="24"/>
          <w:szCs w:val="24"/>
        </w:rPr>
        <w:t xml:space="preserve"> digitalizzazione e </w:t>
      </w:r>
      <w:r w:rsidR="00D0488C" w:rsidRPr="00D0488C">
        <w:rPr>
          <w:rFonts w:ascii="Calibri" w:hAnsi="Calibri" w:cs="Calibri"/>
          <w:b/>
          <w:bCs/>
          <w:sz w:val="24"/>
          <w:szCs w:val="24"/>
        </w:rPr>
        <w:t>redditività degli alberghi</w:t>
      </w:r>
    </w:p>
    <w:p w14:paraId="4908B3B6" w14:textId="45CEB9F8" w:rsidR="00F25AB9" w:rsidRDefault="00F25AB9" w:rsidP="00F25AB9">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hyperlink r:id="rId7" w:history="1">
        <w:r w:rsidRPr="00F25AB9">
          <w:rPr>
            <w:rStyle w:val="Collegamentoipertestuale"/>
            <w:rFonts w:ascii="Times New Roman" w:eastAsia="Times New Roman" w:hAnsi="Times New Roman" w:cs="Times New Roman"/>
            <w:kern w:val="0"/>
            <w:sz w:val="24"/>
            <w:szCs w:val="24"/>
            <w:lang w:eastAsia="it-IT"/>
            <w14:ligatures w14:val="none"/>
          </w:rPr>
          <w:t>www.ttgexpo.it</w:t>
        </w:r>
      </w:hyperlink>
      <w:r>
        <w:rPr>
          <w:rFonts w:ascii="Times New Roman" w:eastAsia="Times New Roman" w:hAnsi="Times New Roman" w:cs="Times New Roman"/>
          <w:kern w:val="0"/>
          <w:sz w:val="24"/>
          <w:szCs w:val="24"/>
          <w:lang w:eastAsia="it-IT"/>
          <w14:ligatures w14:val="none"/>
        </w:rPr>
        <w:t xml:space="preserve"> | </w:t>
      </w:r>
      <w:hyperlink r:id="rId8" w:history="1">
        <w:r w:rsidR="00D4411B" w:rsidRPr="0093452C">
          <w:rPr>
            <w:rStyle w:val="Collegamentoipertestuale"/>
            <w:rFonts w:ascii="Times New Roman" w:eastAsia="Times New Roman" w:hAnsi="Times New Roman" w:cs="Times New Roman"/>
            <w:kern w:val="0"/>
            <w:sz w:val="24"/>
            <w:szCs w:val="24"/>
            <w:lang w:eastAsia="it-IT"/>
            <w14:ligatures w14:val="none"/>
          </w:rPr>
          <w:t>www.inout.it</w:t>
        </w:r>
      </w:hyperlink>
    </w:p>
    <w:p w14:paraId="3ACB947C" w14:textId="48DEF5EC" w:rsidR="00D4411B" w:rsidRPr="00D4411B" w:rsidRDefault="00D4411B" w:rsidP="00C224CF">
      <w:pPr>
        <w:spacing w:before="100" w:beforeAutospacing="1" w:after="100" w:afterAutospacing="1" w:line="240" w:lineRule="auto"/>
        <w:jc w:val="both"/>
        <w:rPr>
          <w:rFonts w:ascii="Calibri" w:eastAsia="Times New Roman" w:hAnsi="Calibri" w:cs="Calibri"/>
          <w:kern w:val="0"/>
          <w:lang w:eastAsia="it-IT"/>
          <w14:ligatures w14:val="none"/>
        </w:rPr>
      </w:pPr>
      <w:r w:rsidRPr="00D4411B">
        <w:rPr>
          <w:rFonts w:ascii="Calibri" w:eastAsia="Times New Roman" w:hAnsi="Calibri" w:cs="Calibri"/>
          <w:i/>
          <w:iCs/>
          <w:kern w:val="0"/>
          <w:lang w:eastAsia="it-IT"/>
          <w14:ligatures w14:val="none"/>
        </w:rPr>
        <w:t xml:space="preserve">Rimini, </w:t>
      </w:r>
      <w:r w:rsidR="009C30BB">
        <w:rPr>
          <w:rFonts w:ascii="Calibri" w:eastAsia="Times New Roman" w:hAnsi="Calibri" w:cs="Calibri"/>
          <w:i/>
          <w:iCs/>
          <w:kern w:val="0"/>
          <w:lang w:eastAsia="it-IT"/>
          <w14:ligatures w14:val="none"/>
        </w:rPr>
        <w:t xml:space="preserve">1 </w:t>
      </w:r>
      <w:r w:rsidRPr="00D4411B">
        <w:rPr>
          <w:rFonts w:ascii="Calibri" w:eastAsia="Times New Roman" w:hAnsi="Calibri" w:cs="Calibri"/>
          <w:i/>
          <w:iCs/>
          <w:kern w:val="0"/>
          <w:lang w:eastAsia="it-IT"/>
          <w14:ligatures w14:val="none"/>
        </w:rPr>
        <w:t>ottobre 2025</w:t>
      </w:r>
      <w:r w:rsidRPr="00D4411B">
        <w:rPr>
          <w:rFonts w:ascii="Calibri" w:eastAsia="Times New Roman" w:hAnsi="Calibri" w:cs="Calibri"/>
          <w:kern w:val="0"/>
          <w:lang w:eastAsia="it-IT"/>
          <w14:ligatures w14:val="none"/>
        </w:rPr>
        <w:t xml:space="preserve"> – Il 2025 è l’anno della spinta per l’</w:t>
      </w:r>
      <w:proofErr w:type="spellStart"/>
      <w:r w:rsidRPr="00D4411B">
        <w:rPr>
          <w:rFonts w:ascii="Calibri" w:eastAsia="Times New Roman" w:hAnsi="Calibri" w:cs="Calibri"/>
          <w:kern w:val="0"/>
          <w:lang w:eastAsia="it-IT"/>
          <w14:ligatures w14:val="none"/>
        </w:rPr>
        <w:t>hotellerie</w:t>
      </w:r>
      <w:proofErr w:type="spellEnd"/>
      <w:r w:rsidRPr="00D4411B">
        <w:rPr>
          <w:rFonts w:ascii="Calibri" w:eastAsia="Times New Roman" w:hAnsi="Calibri" w:cs="Calibri"/>
          <w:kern w:val="0"/>
          <w:lang w:eastAsia="it-IT"/>
          <w14:ligatures w14:val="none"/>
        </w:rPr>
        <w:t>: investimenti in crescita,</w:t>
      </w:r>
      <w:r w:rsidR="0074667C">
        <w:t xml:space="preserve"> </w:t>
      </w:r>
      <w:r w:rsidR="0074667C" w:rsidRPr="0074667C">
        <w:rPr>
          <w:rFonts w:ascii="Calibri" w:eastAsia="Times New Roman" w:hAnsi="Calibri" w:cs="Calibri"/>
          <w:kern w:val="0"/>
          <w:lang w:eastAsia="it-IT"/>
          <w14:ligatures w14:val="none"/>
        </w:rPr>
        <w:t>intelligenza artificiale</w:t>
      </w:r>
      <w:r w:rsidR="0074667C">
        <w:rPr>
          <w:rFonts w:ascii="Calibri" w:eastAsia="Times New Roman" w:hAnsi="Calibri" w:cs="Calibri"/>
          <w:kern w:val="0"/>
          <w:lang w:eastAsia="it-IT"/>
          <w14:ligatures w14:val="none"/>
        </w:rPr>
        <w:t xml:space="preserve"> </w:t>
      </w:r>
      <w:r w:rsidR="0074667C" w:rsidRPr="0074667C">
        <w:rPr>
          <w:rFonts w:ascii="Calibri" w:eastAsia="Times New Roman" w:hAnsi="Calibri" w:cs="Calibri"/>
          <w:kern w:val="0"/>
          <w:lang w:eastAsia="it-IT"/>
          <w14:ligatures w14:val="none"/>
        </w:rPr>
        <w:t>e nuove competenze per riscrivere l’esperienza d’accoglienza</w:t>
      </w:r>
      <w:r w:rsidR="0074667C">
        <w:rPr>
          <w:rFonts w:ascii="Calibri" w:eastAsia="Times New Roman" w:hAnsi="Calibri" w:cs="Calibri"/>
          <w:kern w:val="0"/>
          <w:lang w:eastAsia="it-IT"/>
          <w14:ligatures w14:val="none"/>
        </w:rPr>
        <w:t xml:space="preserve">. </w:t>
      </w:r>
      <w:r w:rsidRPr="00D4411B">
        <w:rPr>
          <w:rFonts w:ascii="Calibri" w:eastAsia="Times New Roman" w:hAnsi="Calibri" w:cs="Calibri"/>
          <w:kern w:val="0"/>
          <w:lang w:eastAsia="it-IT"/>
          <w14:ligatures w14:val="none"/>
        </w:rPr>
        <w:t xml:space="preserve">È in questo contesto che </w:t>
      </w:r>
      <w:r w:rsidRPr="00D4411B">
        <w:rPr>
          <w:rFonts w:ascii="Calibri" w:eastAsia="Times New Roman" w:hAnsi="Calibri" w:cs="Calibri"/>
          <w:b/>
          <w:bCs/>
          <w:kern w:val="0"/>
          <w:lang w:eastAsia="it-IT"/>
          <w14:ligatures w14:val="none"/>
        </w:rPr>
        <w:t xml:space="preserve">TTG Travel Experience </w:t>
      </w:r>
      <w:r w:rsidRPr="002A18D9">
        <w:rPr>
          <w:rFonts w:ascii="Calibri" w:eastAsia="Times New Roman" w:hAnsi="Calibri" w:cs="Calibri"/>
          <w:kern w:val="0"/>
          <w:lang w:eastAsia="it-IT"/>
          <w14:ligatures w14:val="none"/>
        </w:rPr>
        <w:t>e</w:t>
      </w:r>
      <w:r w:rsidRPr="00D4411B">
        <w:rPr>
          <w:rFonts w:ascii="Calibri" w:eastAsia="Times New Roman" w:hAnsi="Calibri" w:cs="Calibri"/>
          <w:b/>
          <w:bCs/>
          <w:kern w:val="0"/>
          <w:lang w:eastAsia="it-IT"/>
          <w14:ligatures w14:val="none"/>
        </w:rPr>
        <w:t xml:space="preserve"> </w:t>
      </w:r>
      <w:proofErr w:type="spellStart"/>
      <w:r w:rsidRPr="00D4411B">
        <w:rPr>
          <w:rFonts w:ascii="Calibri" w:eastAsia="Times New Roman" w:hAnsi="Calibri" w:cs="Calibri"/>
          <w:b/>
          <w:bCs/>
          <w:kern w:val="0"/>
          <w:lang w:eastAsia="it-IT"/>
          <w14:ligatures w14:val="none"/>
        </w:rPr>
        <w:t>InOut</w:t>
      </w:r>
      <w:proofErr w:type="spellEnd"/>
      <w:r w:rsidRPr="00D4411B">
        <w:rPr>
          <w:rFonts w:ascii="Calibri" w:eastAsia="Times New Roman" w:hAnsi="Calibri" w:cs="Calibri"/>
          <w:b/>
          <w:bCs/>
          <w:kern w:val="0"/>
          <w:lang w:eastAsia="it-IT"/>
          <w14:ligatures w14:val="none"/>
        </w:rPr>
        <w:t xml:space="preserve"> | The </w:t>
      </w:r>
      <w:proofErr w:type="spellStart"/>
      <w:r w:rsidRPr="00D4411B">
        <w:rPr>
          <w:rFonts w:ascii="Calibri" w:eastAsia="Times New Roman" w:hAnsi="Calibri" w:cs="Calibri"/>
          <w:b/>
          <w:bCs/>
          <w:kern w:val="0"/>
          <w:lang w:eastAsia="it-IT"/>
          <w14:ligatures w14:val="none"/>
        </w:rPr>
        <w:t>Contract</w:t>
      </w:r>
      <w:proofErr w:type="spellEnd"/>
      <w:r w:rsidRPr="00D4411B">
        <w:rPr>
          <w:rFonts w:ascii="Calibri" w:eastAsia="Times New Roman" w:hAnsi="Calibri" w:cs="Calibri"/>
          <w:b/>
          <w:bCs/>
          <w:kern w:val="0"/>
          <w:lang w:eastAsia="it-IT"/>
          <w14:ligatures w14:val="none"/>
        </w:rPr>
        <w:t xml:space="preserve"> Community</w:t>
      </w:r>
      <w:r w:rsidRPr="00D4411B">
        <w:rPr>
          <w:rFonts w:ascii="Calibri" w:eastAsia="Times New Roman" w:hAnsi="Calibri" w:cs="Calibri"/>
          <w:kern w:val="0"/>
          <w:lang w:eastAsia="it-IT"/>
          <w14:ligatures w14:val="none"/>
        </w:rPr>
        <w:t xml:space="preserve"> mettono l’ospitalità al centro del</w:t>
      </w:r>
      <w:r w:rsidRPr="00C224CF">
        <w:rPr>
          <w:rFonts w:ascii="Calibri" w:eastAsia="Times New Roman" w:hAnsi="Calibri" w:cs="Calibri"/>
          <w:kern w:val="0"/>
          <w:lang w:eastAsia="it-IT"/>
          <w14:ligatures w14:val="none"/>
        </w:rPr>
        <w:t>la scena</w:t>
      </w:r>
      <w:r w:rsidRPr="00D4411B">
        <w:rPr>
          <w:rFonts w:ascii="Calibri" w:eastAsia="Times New Roman" w:hAnsi="Calibri" w:cs="Calibri"/>
          <w:kern w:val="0"/>
          <w:lang w:eastAsia="it-IT"/>
          <w14:ligatures w14:val="none"/>
        </w:rPr>
        <w:t xml:space="preserve">, </w:t>
      </w:r>
      <w:r w:rsidR="00A84F79" w:rsidRPr="00C224CF">
        <w:rPr>
          <w:rFonts w:ascii="Calibri" w:eastAsia="Times New Roman" w:hAnsi="Calibri" w:cs="Calibri"/>
          <w:kern w:val="0"/>
          <w:lang w:eastAsia="it-IT"/>
          <w14:ligatures w14:val="none"/>
        </w:rPr>
        <w:t>facendo dell’</w:t>
      </w:r>
      <w:proofErr w:type="spellStart"/>
      <w:r w:rsidR="00A84F79" w:rsidRPr="00C224CF">
        <w:rPr>
          <w:rFonts w:ascii="Calibri" w:eastAsia="Times New Roman" w:hAnsi="Calibri" w:cs="Calibri"/>
          <w:kern w:val="0"/>
          <w:lang w:eastAsia="it-IT"/>
          <w14:ligatures w14:val="none"/>
        </w:rPr>
        <w:t>hotellerie</w:t>
      </w:r>
      <w:proofErr w:type="spellEnd"/>
      <w:r w:rsidR="00A84F79" w:rsidRPr="00C224CF">
        <w:rPr>
          <w:rFonts w:ascii="Calibri" w:eastAsia="Times New Roman" w:hAnsi="Calibri" w:cs="Calibri"/>
          <w:kern w:val="0"/>
          <w:lang w:eastAsia="it-IT"/>
          <w14:ligatures w14:val="none"/>
        </w:rPr>
        <w:t xml:space="preserve"> il filo conduttore di un’edizione che punta a ispirare e dare strumenti concreti al settore</w:t>
      </w:r>
      <w:r w:rsidR="00087FC8">
        <w:rPr>
          <w:rFonts w:ascii="Calibri" w:eastAsia="Times New Roman" w:hAnsi="Calibri" w:cs="Calibri"/>
          <w:kern w:val="0"/>
          <w:lang w:eastAsia="it-IT"/>
          <w14:ligatures w14:val="none"/>
        </w:rPr>
        <w:t>.</w:t>
      </w:r>
    </w:p>
    <w:p w14:paraId="049A24EF" w14:textId="4BCA7834" w:rsidR="00B602A6" w:rsidRPr="00C224CF" w:rsidRDefault="00D4411B" w:rsidP="00C224CF">
      <w:pPr>
        <w:spacing w:after="0" w:line="240" w:lineRule="auto"/>
        <w:jc w:val="both"/>
        <w:rPr>
          <w:rFonts w:ascii="Calibri" w:eastAsia="Times New Roman" w:hAnsi="Calibri" w:cs="Calibri"/>
          <w:b/>
          <w:bCs/>
          <w:kern w:val="0"/>
          <w:lang w:eastAsia="it-IT"/>
          <w14:ligatures w14:val="none"/>
        </w:rPr>
      </w:pPr>
      <w:r w:rsidRPr="00D4411B">
        <w:rPr>
          <w:rFonts w:ascii="Calibri" w:eastAsia="Times New Roman" w:hAnsi="Calibri" w:cs="Calibri"/>
          <w:b/>
          <w:bCs/>
          <w:kern w:val="0"/>
          <w:lang w:eastAsia="it-IT"/>
          <w14:ligatures w14:val="none"/>
        </w:rPr>
        <w:t xml:space="preserve">FOCUS </w:t>
      </w:r>
      <w:r w:rsidR="00135135">
        <w:rPr>
          <w:rFonts w:ascii="Calibri" w:eastAsia="Times New Roman" w:hAnsi="Calibri" w:cs="Calibri"/>
          <w:b/>
          <w:bCs/>
          <w:kern w:val="0"/>
          <w:lang w:eastAsia="it-IT"/>
          <w14:ligatures w14:val="none"/>
        </w:rPr>
        <w:t>HOTEL CHAINS</w:t>
      </w:r>
    </w:p>
    <w:p w14:paraId="35BC4C6F" w14:textId="638C8913" w:rsidR="00316014" w:rsidRPr="00C224CF" w:rsidRDefault="00D4411B" w:rsidP="00C224CF">
      <w:pPr>
        <w:spacing w:after="0" w:line="240" w:lineRule="auto"/>
        <w:jc w:val="both"/>
        <w:rPr>
          <w:rFonts w:ascii="Calibri" w:eastAsia="Times New Roman" w:hAnsi="Calibri" w:cs="Calibri"/>
          <w:b/>
          <w:bCs/>
          <w:kern w:val="0"/>
          <w:lang w:eastAsia="it-IT"/>
          <w14:ligatures w14:val="none"/>
        </w:rPr>
      </w:pPr>
      <w:r w:rsidRPr="00D4411B">
        <w:rPr>
          <w:rFonts w:ascii="Calibri" w:eastAsia="Times New Roman" w:hAnsi="Calibri" w:cs="Calibri"/>
          <w:kern w:val="0"/>
          <w:lang w:eastAsia="it-IT"/>
          <w14:ligatures w14:val="none"/>
        </w:rPr>
        <w:t xml:space="preserve">Grande novità di quest’anno è </w:t>
      </w:r>
      <w:r w:rsidRPr="00D4411B">
        <w:rPr>
          <w:rFonts w:ascii="Calibri" w:eastAsia="Times New Roman" w:hAnsi="Calibri" w:cs="Calibri"/>
          <w:b/>
          <w:bCs/>
          <w:kern w:val="0"/>
          <w:lang w:eastAsia="it-IT"/>
          <w14:ligatures w14:val="none"/>
        </w:rPr>
        <w:t>Hotel Chains</w:t>
      </w:r>
      <w:r w:rsidRPr="00D4411B">
        <w:rPr>
          <w:rFonts w:ascii="Calibri" w:eastAsia="Times New Roman" w:hAnsi="Calibri" w:cs="Calibri"/>
          <w:kern w:val="0"/>
          <w:lang w:eastAsia="it-IT"/>
          <w14:ligatures w14:val="none"/>
        </w:rPr>
        <w:t>, il percorso espositivo dedicato alle principali catene alberghiere italiane e internazionali</w:t>
      </w:r>
      <w:r w:rsidR="00777102" w:rsidRPr="00C224CF">
        <w:rPr>
          <w:rFonts w:ascii="Calibri" w:eastAsia="Times New Roman" w:hAnsi="Calibri" w:cs="Calibri"/>
          <w:kern w:val="0"/>
          <w:lang w:eastAsia="it-IT"/>
          <w14:ligatures w14:val="none"/>
        </w:rPr>
        <w:t>, che avranno</w:t>
      </w:r>
      <w:r w:rsidRPr="00D4411B">
        <w:rPr>
          <w:rFonts w:ascii="Calibri" w:eastAsia="Times New Roman" w:hAnsi="Calibri" w:cs="Calibri"/>
          <w:kern w:val="0"/>
          <w:lang w:eastAsia="it-IT"/>
          <w14:ligatures w14:val="none"/>
        </w:rPr>
        <w:t xml:space="preserve"> massima visibilità</w:t>
      </w:r>
      <w:r w:rsidR="00777102" w:rsidRPr="00C224CF">
        <w:rPr>
          <w:rFonts w:ascii="Calibri" w:eastAsia="Times New Roman" w:hAnsi="Calibri" w:cs="Calibri"/>
          <w:kern w:val="0"/>
          <w:lang w:eastAsia="it-IT"/>
          <w14:ligatures w14:val="none"/>
        </w:rPr>
        <w:t xml:space="preserve"> e permetterà ai visitatori di scoprire </w:t>
      </w:r>
      <w:r w:rsidR="00316014" w:rsidRPr="00C224CF">
        <w:rPr>
          <w:rFonts w:ascii="Calibri" w:eastAsia="Times New Roman" w:hAnsi="Calibri" w:cs="Calibri"/>
          <w:kern w:val="0"/>
          <w:lang w:eastAsia="it-IT"/>
          <w14:ligatures w14:val="none"/>
        </w:rPr>
        <w:t>i brand</w:t>
      </w:r>
      <w:r w:rsidRPr="00D4411B">
        <w:rPr>
          <w:rFonts w:ascii="Calibri" w:eastAsia="Times New Roman" w:hAnsi="Calibri" w:cs="Calibri"/>
          <w:kern w:val="0"/>
          <w:lang w:eastAsia="it-IT"/>
          <w14:ligatures w14:val="none"/>
        </w:rPr>
        <w:t xml:space="preserve"> presenti.</w:t>
      </w:r>
    </w:p>
    <w:p w14:paraId="639CC29F" w14:textId="7B0F182E" w:rsidR="00D4411B" w:rsidRPr="00C224CF" w:rsidRDefault="00D4411B" w:rsidP="00C224CF">
      <w:pPr>
        <w:spacing w:after="0" w:line="240" w:lineRule="auto"/>
        <w:jc w:val="both"/>
        <w:rPr>
          <w:rFonts w:ascii="Calibri" w:eastAsia="Times New Roman" w:hAnsi="Calibri" w:cs="Calibri"/>
          <w:kern w:val="0"/>
          <w:lang w:eastAsia="it-IT"/>
          <w14:ligatures w14:val="none"/>
        </w:rPr>
      </w:pPr>
      <w:r w:rsidRPr="00D4411B">
        <w:rPr>
          <w:rFonts w:ascii="Calibri" w:eastAsia="Times New Roman" w:hAnsi="Calibri" w:cs="Calibri"/>
          <w:kern w:val="0"/>
          <w:lang w:eastAsia="it-IT"/>
          <w14:ligatures w14:val="none"/>
        </w:rPr>
        <w:t>Un itinerario che trasforma la visita in fiera in un vero viaggio nell’offerta delle catene, tra progetti di sviluppo, nuovi concept di ospitalità e modelli di business in evoluzione.</w:t>
      </w:r>
    </w:p>
    <w:p w14:paraId="18A58F04" w14:textId="77777777" w:rsidR="00063F10" w:rsidRPr="00D4411B" w:rsidRDefault="00063F10" w:rsidP="00C224CF">
      <w:pPr>
        <w:spacing w:after="0" w:line="240" w:lineRule="auto"/>
        <w:jc w:val="both"/>
        <w:rPr>
          <w:rFonts w:ascii="Calibri" w:eastAsia="Times New Roman" w:hAnsi="Calibri" w:cs="Calibri"/>
          <w:b/>
          <w:bCs/>
          <w:kern w:val="0"/>
          <w:lang w:eastAsia="it-IT"/>
          <w14:ligatures w14:val="none"/>
        </w:rPr>
      </w:pPr>
    </w:p>
    <w:p w14:paraId="6E936ECA" w14:textId="5F872FE6" w:rsidR="00063F10" w:rsidRPr="00C224CF" w:rsidRDefault="00176109" w:rsidP="00C224CF">
      <w:pPr>
        <w:spacing w:after="0" w:line="240" w:lineRule="auto"/>
        <w:jc w:val="both"/>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HOTEL TALKS</w:t>
      </w:r>
      <w:r w:rsidR="00FC278A">
        <w:rPr>
          <w:rFonts w:ascii="Calibri" w:eastAsia="Times New Roman" w:hAnsi="Calibri" w:cs="Calibri"/>
          <w:b/>
          <w:bCs/>
          <w:kern w:val="0"/>
          <w:lang w:eastAsia="it-IT"/>
          <w14:ligatures w14:val="none"/>
        </w:rPr>
        <w:t xml:space="preserve">: </w:t>
      </w:r>
      <w:r w:rsidR="008E4BA2">
        <w:rPr>
          <w:rFonts w:ascii="Calibri" w:eastAsia="Times New Roman" w:hAnsi="Calibri" w:cs="Calibri"/>
          <w:b/>
          <w:bCs/>
          <w:kern w:val="0"/>
          <w:lang w:eastAsia="it-IT"/>
          <w14:ligatures w14:val="none"/>
        </w:rPr>
        <w:t>GLI HOTEL SI RACCONTANO</w:t>
      </w:r>
      <w:r w:rsidR="00890ABF" w:rsidRPr="00890ABF">
        <w:rPr>
          <w:rFonts w:ascii="Calibri" w:eastAsia="Times New Roman" w:hAnsi="Calibri" w:cs="Calibri"/>
          <w:b/>
          <w:bCs/>
          <w:kern w:val="0"/>
          <w:lang w:eastAsia="it-IT"/>
          <w14:ligatures w14:val="none"/>
        </w:rPr>
        <w:t xml:space="preserve"> </w:t>
      </w:r>
    </w:p>
    <w:p w14:paraId="2914FC3C" w14:textId="77777777" w:rsidR="00063F10" w:rsidRPr="00C224CF" w:rsidRDefault="00C2752D" w:rsidP="00C224CF">
      <w:pPr>
        <w:spacing w:after="0" w:line="240" w:lineRule="auto"/>
        <w:jc w:val="both"/>
        <w:rPr>
          <w:rFonts w:ascii="Calibri" w:eastAsia="Times New Roman" w:hAnsi="Calibri" w:cs="Calibri"/>
          <w:b/>
          <w:bCs/>
          <w:kern w:val="0"/>
          <w:lang w:eastAsia="it-IT"/>
          <w14:ligatures w14:val="none"/>
        </w:rPr>
      </w:pPr>
      <w:r w:rsidRPr="00C224CF">
        <w:rPr>
          <w:rFonts w:ascii="Calibri" w:eastAsia="Times New Roman" w:hAnsi="Calibri" w:cs="Calibri"/>
          <w:kern w:val="0"/>
          <w:lang w:eastAsia="it-IT"/>
          <w14:ligatures w14:val="none"/>
        </w:rPr>
        <w:t xml:space="preserve">Accanto all’area espositiva, </w:t>
      </w:r>
      <w:r w:rsidRPr="00C2752D">
        <w:rPr>
          <w:rFonts w:ascii="Calibri" w:eastAsia="Times New Roman" w:hAnsi="Calibri" w:cs="Calibri"/>
          <w:kern w:val="0"/>
          <w:lang w:eastAsia="it-IT"/>
          <w14:ligatures w14:val="none"/>
        </w:rPr>
        <w:t xml:space="preserve">gli </w:t>
      </w:r>
      <w:r w:rsidRPr="00C2752D">
        <w:rPr>
          <w:rFonts w:ascii="Calibri" w:eastAsia="Times New Roman" w:hAnsi="Calibri" w:cs="Calibri"/>
          <w:b/>
          <w:bCs/>
          <w:kern w:val="0"/>
          <w:lang w:eastAsia="it-IT"/>
          <w14:ligatures w14:val="none"/>
        </w:rPr>
        <w:t>Hotel Talks</w:t>
      </w:r>
      <w:r w:rsidRPr="00C2752D">
        <w:rPr>
          <w:rFonts w:ascii="Calibri" w:eastAsia="Times New Roman" w:hAnsi="Calibri" w:cs="Calibri"/>
          <w:kern w:val="0"/>
          <w:lang w:eastAsia="it-IT"/>
          <w14:ligatures w14:val="none"/>
        </w:rPr>
        <w:t xml:space="preserve"> diventano il cuore del racconto dell’</w:t>
      </w:r>
      <w:proofErr w:type="spellStart"/>
      <w:r w:rsidRPr="00C2752D">
        <w:rPr>
          <w:rFonts w:ascii="Calibri" w:eastAsia="Times New Roman" w:hAnsi="Calibri" w:cs="Calibri"/>
          <w:kern w:val="0"/>
          <w:lang w:eastAsia="it-IT"/>
          <w14:ligatures w14:val="none"/>
        </w:rPr>
        <w:t>hospitality</w:t>
      </w:r>
      <w:proofErr w:type="spellEnd"/>
      <w:r w:rsidRPr="00C2752D">
        <w:rPr>
          <w:rFonts w:ascii="Calibri" w:eastAsia="Times New Roman" w:hAnsi="Calibri" w:cs="Calibri"/>
          <w:kern w:val="0"/>
          <w:lang w:eastAsia="it-IT"/>
          <w14:ligatures w14:val="none"/>
        </w:rPr>
        <w:t>.</w:t>
      </w:r>
      <w:r w:rsidRPr="00C2752D">
        <w:rPr>
          <w:rFonts w:ascii="Calibri" w:eastAsia="Times New Roman" w:hAnsi="Calibri" w:cs="Calibri"/>
          <w:kern w:val="0"/>
          <w:lang w:eastAsia="it-IT"/>
          <w14:ligatures w14:val="none"/>
        </w:rPr>
        <w:br/>
        <w:t xml:space="preserve">Si tratta di un format agile: </w:t>
      </w:r>
      <w:r w:rsidRPr="00C2752D">
        <w:rPr>
          <w:rFonts w:ascii="Calibri" w:eastAsia="Times New Roman" w:hAnsi="Calibri" w:cs="Calibri"/>
          <w:b/>
          <w:bCs/>
          <w:kern w:val="0"/>
          <w:lang w:eastAsia="it-IT"/>
          <w14:ligatures w14:val="none"/>
        </w:rPr>
        <w:t>30 minuti di palco dedicati a ciascuna catena</w:t>
      </w:r>
      <w:r w:rsidRPr="00C2752D">
        <w:rPr>
          <w:rFonts w:ascii="Calibri" w:eastAsia="Times New Roman" w:hAnsi="Calibri" w:cs="Calibri"/>
          <w:kern w:val="0"/>
          <w:lang w:eastAsia="it-IT"/>
          <w14:ligatures w14:val="none"/>
        </w:rPr>
        <w:t xml:space="preserve"> per presentare la propria visione, i progetti di sviluppo, le innovazioni tecnologiche e i nuovi concept di accoglienza.</w:t>
      </w:r>
    </w:p>
    <w:p w14:paraId="75A31FC1" w14:textId="760496AA" w:rsidR="00C2752D" w:rsidRPr="00C224CF" w:rsidRDefault="00C2752D" w:rsidP="00C224CF">
      <w:pPr>
        <w:spacing w:after="0" w:line="240" w:lineRule="auto"/>
        <w:jc w:val="both"/>
        <w:rPr>
          <w:rFonts w:ascii="Calibri" w:eastAsia="Times New Roman" w:hAnsi="Calibri" w:cs="Calibri"/>
          <w:kern w:val="0"/>
          <w:lang w:eastAsia="it-IT"/>
          <w14:ligatures w14:val="none"/>
        </w:rPr>
      </w:pPr>
      <w:r w:rsidRPr="00C2752D">
        <w:rPr>
          <w:rFonts w:ascii="Calibri" w:eastAsia="Times New Roman" w:hAnsi="Calibri" w:cs="Calibri"/>
          <w:kern w:val="0"/>
          <w:lang w:eastAsia="it-IT"/>
          <w14:ligatures w14:val="none"/>
        </w:rPr>
        <w:t xml:space="preserve">L’appuntamento è nella </w:t>
      </w:r>
      <w:r w:rsidRPr="00C2752D">
        <w:rPr>
          <w:rFonts w:ascii="Calibri" w:eastAsia="Times New Roman" w:hAnsi="Calibri" w:cs="Calibri"/>
          <w:b/>
          <w:bCs/>
          <w:kern w:val="0"/>
          <w:lang w:eastAsia="it-IT"/>
          <w14:ligatures w14:val="none"/>
        </w:rPr>
        <w:t>Sala Tiglio 2</w:t>
      </w:r>
      <w:r w:rsidRPr="00C2752D">
        <w:rPr>
          <w:rFonts w:ascii="Calibri" w:eastAsia="Times New Roman" w:hAnsi="Calibri" w:cs="Calibri"/>
          <w:kern w:val="0"/>
          <w:lang w:eastAsia="it-IT"/>
          <w14:ligatures w14:val="none"/>
        </w:rPr>
        <w:t>, l’8 e 9 ottobre, per due giorni di speech serrati, pensati per catturare l’attenzione del pubblico professionale e favorire il networking tra operatori.</w:t>
      </w:r>
      <w:r w:rsidRPr="00C2752D">
        <w:rPr>
          <w:rFonts w:ascii="Calibri" w:eastAsia="Times New Roman" w:hAnsi="Calibri" w:cs="Calibri"/>
          <w:kern w:val="0"/>
          <w:lang w:eastAsia="it-IT"/>
          <w14:ligatures w14:val="none"/>
        </w:rPr>
        <w:br/>
        <w:t>Non semplici presentazioni, ma momenti di storytelling e di confronto in cui i brand protagonisti condividono esperienze, casi di successo e strategie per il futuro.</w:t>
      </w:r>
    </w:p>
    <w:p w14:paraId="5C413A44" w14:textId="271A9073" w:rsidR="00D4411B" w:rsidRPr="00D4411B" w:rsidRDefault="00E12F21" w:rsidP="00C224CF">
      <w:pPr>
        <w:jc w:val="both"/>
        <w:rPr>
          <w:rFonts w:ascii="Calibri" w:hAnsi="Calibri" w:cs="Calibri"/>
        </w:rPr>
      </w:pPr>
      <w:r w:rsidRPr="00C224CF">
        <w:rPr>
          <w:rFonts w:ascii="Calibri" w:hAnsi="Calibri" w:cs="Calibri"/>
        </w:rPr>
        <w:t xml:space="preserve">Sono oltre 40 i gruppi alberghieri che hanno già aderito alla proposta. Tra i protagonisti più rilevanti degli Hotel Talks saranno presenti BWH Hotel Italia &amp; Malta, Falkensteiner, Planetaria Hotels, B&amp;B Hotels, Piazza Hotels, </w:t>
      </w:r>
      <w:proofErr w:type="spellStart"/>
      <w:r w:rsidRPr="00C224CF">
        <w:rPr>
          <w:rFonts w:ascii="Calibri" w:hAnsi="Calibri" w:cs="Calibri"/>
        </w:rPr>
        <w:t>Bzar</w:t>
      </w:r>
      <w:proofErr w:type="spellEnd"/>
      <w:r w:rsidRPr="00C224CF">
        <w:rPr>
          <w:rFonts w:ascii="Calibri" w:hAnsi="Calibri" w:cs="Calibri"/>
        </w:rPr>
        <w:t xml:space="preserve"> Hotels, Omnia Hotels, </w:t>
      </w:r>
      <w:proofErr w:type="spellStart"/>
      <w:r w:rsidR="009C4157" w:rsidRPr="00C224CF">
        <w:rPr>
          <w:rFonts w:ascii="Calibri" w:hAnsi="Calibri" w:cs="Calibri"/>
        </w:rPr>
        <w:t>a&amp;o</w:t>
      </w:r>
      <w:proofErr w:type="spellEnd"/>
      <w:r w:rsidR="009C4157" w:rsidRPr="00C224CF">
        <w:rPr>
          <w:rFonts w:ascii="Calibri" w:hAnsi="Calibri" w:cs="Calibri"/>
        </w:rPr>
        <w:t xml:space="preserve"> </w:t>
      </w:r>
      <w:proofErr w:type="spellStart"/>
      <w:r w:rsidR="009C4157" w:rsidRPr="00C224CF">
        <w:rPr>
          <w:rFonts w:ascii="Calibri" w:hAnsi="Calibri" w:cs="Calibri"/>
        </w:rPr>
        <w:t>Hostel</w:t>
      </w:r>
      <w:proofErr w:type="spellEnd"/>
      <w:r w:rsidR="009C4157" w:rsidRPr="00C224CF">
        <w:rPr>
          <w:rFonts w:ascii="Calibri" w:hAnsi="Calibri" w:cs="Calibri"/>
        </w:rPr>
        <w:t xml:space="preserve">, </w:t>
      </w:r>
      <w:proofErr w:type="spellStart"/>
      <w:r w:rsidRPr="00C224CF">
        <w:rPr>
          <w:rFonts w:ascii="Calibri" w:hAnsi="Calibri" w:cs="Calibri"/>
        </w:rPr>
        <w:t>Belstay</w:t>
      </w:r>
      <w:proofErr w:type="spellEnd"/>
      <w:r w:rsidRPr="00C224CF">
        <w:rPr>
          <w:rFonts w:ascii="Calibri" w:hAnsi="Calibri" w:cs="Calibri"/>
        </w:rPr>
        <w:t xml:space="preserve"> Hotels e </w:t>
      </w:r>
      <w:proofErr w:type="spellStart"/>
      <w:r w:rsidRPr="00C224CF">
        <w:rPr>
          <w:rFonts w:ascii="Calibri" w:hAnsi="Calibri" w:cs="Calibri"/>
        </w:rPr>
        <w:t>CDSHotels</w:t>
      </w:r>
      <w:proofErr w:type="spellEnd"/>
      <w:r w:rsidRPr="00C224CF">
        <w:rPr>
          <w:rFonts w:ascii="Calibri" w:hAnsi="Calibri" w:cs="Calibri"/>
        </w:rPr>
        <w:t>.</w:t>
      </w:r>
    </w:p>
    <w:p w14:paraId="471D3207" w14:textId="77777777" w:rsidR="008F660D" w:rsidRDefault="00176109" w:rsidP="008F660D">
      <w:pPr>
        <w:pStyle w:val="NormaleWeb"/>
        <w:spacing w:before="0" w:beforeAutospacing="0" w:after="0" w:afterAutospacing="0"/>
        <w:jc w:val="both"/>
        <w:rPr>
          <w:rFonts w:ascii="Calibri" w:hAnsi="Calibri" w:cs="Calibri"/>
          <w:b/>
          <w:bCs/>
          <w:sz w:val="22"/>
          <w:szCs w:val="22"/>
        </w:rPr>
      </w:pPr>
      <w:r w:rsidRPr="00176109">
        <w:rPr>
          <w:rFonts w:ascii="Calibri" w:hAnsi="Calibri" w:cs="Calibri"/>
          <w:b/>
          <w:bCs/>
          <w:sz w:val="22"/>
          <w:szCs w:val="22"/>
        </w:rPr>
        <w:t>LA SFIDA DELL’OSPITALITÀ: VISIONE STRATEGICA E SOLUZIONI CONCRETE IN FIERA</w:t>
      </w:r>
    </w:p>
    <w:p w14:paraId="54665294" w14:textId="01167DB0" w:rsidR="00505F2A" w:rsidRDefault="004367E3" w:rsidP="008F660D">
      <w:pPr>
        <w:pStyle w:val="NormaleWeb"/>
        <w:spacing w:before="0" w:beforeAutospacing="0" w:after="0" w:afterAutospacing="0"/>
        <w:jc w:val="both"/>
        <w:rPr>
          <w:rFonts w:ascii="Calibri" w:hAnsi="Calibri" w:cs="Calibri"/>
          <w:sz w:val="22"/>
          <w:szCs w:val="22"/>
        </w:rPr>
      </w:pPr>
      <w:r w:rsidRPr="00505F2A">
        <w:rPr>
          <w:rFonts w:ascii="Calibri" w:hAnsi="Calibri" w:cs="Calibri"/>
          <w:sz w:val="22"/>
          <w:szCs w:val="22"/>
        </w:rPr>
        <w:t>La riflessione sul futuro dell’</w:t>
      </w:r>
      <w:proofErr w:type="spellStart"/>
      <w:r w:rsidRPr="00505F2A">
        <w:rPr>
          <w:rFonts w:ascii="Calibri" w:hAnsi="Calibri" w:cs="Calibri"/>
          <w:sz w:val="22"/>
          <w:szCs w:val="22"/>
        </w:rPr>
        <w:t>hospitality</w:t>
      </w:r>
      <w:proofErr w:type="spellEnd"/>
      <w:r w:rsidRPr="00505F2A">
        <w:rPr>
          <w:rFonts w:ascii="Calibri" w:hAnsi="Calibri" w:cs="Calibri"/>
          <w:sz w:val="22"/>
          <w:szCs w:val="22"/>
        </w:rPr>
        <w:t xml:space="preserve"> si accende l’</w:t>
      </w:r>
      <w:r w:rsidRPr="00505F2A">
        <w:rPr>
          <w:rStyle w:val="Enfasigrassetto"/>
          <w:rFonts w:ascii="Calibri" w:eastAsiaTheme="majorEastAsia" w:hAnsi="Calibri" w:cs="Calibri"/>
          <w:sz w:val="22"/>
          <w:szCs w:val="22"/>
        </w:rPr>
        <w:t>8 ottobre</w:t>
      </w:r>
      <w:r w:rsidRPr="00505F2A">
        <w:rPr>
          <w:rFonts w:ascii="Calibri" w:hAnsi="Calibri" w:cs="Calibri"/>
          <w:sz w:val="22"/>
          <w:szCs w:val="22"/>
        </w:rPr>
        <w:t xml:space="preserve"> nella </w:t>
      </w:r>
      <w:proofErr w:type="spellStart"/>
      <w:r w:rsidRPr="00505F2A">
        <w:rPr>
          <w:rStyle w:val="Enfasigrassetto"/>
          <w:rFonts w:ascii="Calibri" w:eastAsiaTheme="majorEastAsia" w:hAnsi="Calibri" w:cs="Calibri"/>
          <w:sz w:val="22"/>
          <w:szCs w:val="22"/>
        </w:rPr>
        <w:t>Main</w:t>
      </w:r>
      <w:proofErr w:type="spellEnd"/>
      <w:r w:rsidRPr="00505F2A">
        <w:rPr>
          <w:rStyle w:val="Enfasigrassetto"/>
          <w:rFonts w:ascii="Calibri" w:eastAsiaTheme="majorEastAsia" w:hAnsi="Calibri" w:cs="Calibri"/>
          <w:sz w:val="22"/>
          <w:szCs w:val="22"/>
        </w:rPr>
        <w:t xml:space="preserve"> Arena</w:t>
      </w:r>
      <w:r w:rsidRPr="00505F2A">
        <w:rPr>
          <w:rFonts w:ascii="Calibri" w:hAnsi="Calibri" w:cs="Calibri"/>
          <w:sz w:val="22"/>
          <w:szCs w:val="22"/>
        </w:rPr>
        <w:t xml:space="preserve"> con uno degli appuntamenti più attesi: </w:t>
      </w:r>
      <w:r w:rsidRPr="00505F2A">
        <w:rPr>
          <w:rStyle w:val="Enfasigrassetto"/>
          <w:rFonts w:ascii="Calibri" w:eastAsiaTheme="majorEastAsia" w:hAnsi="Calibri" w:cs="Calibri"/>
          <w:sz w:val="22"/>
          <w:szCs w:val="22"/>
        </w:rPr>
        <w:t>“La nuova era dell’</w:t>
      </w:r>
      <w:proofErr w:type="spellStart"/>
      <w:r w:rsidRPr="00505F2A">
        <w:rPr>
          <w:rStyle w:val="Enfasigrassetto"/>
          <w:rFonts w:ascii="Calibri" w:eastAsiaTheme="majorEastAsia" w:hAnsi="Calibri" w:cs="Calibri"/>
          <w:sz w:val="22"/>
          <w:szCs w:val="22"/>
        </w:rPr>
        <w:t>hospitality</w:t>
      </w:r>
      <w:proofErr w:type="spellEnd"/>
      <w:r w:rsidRPr="00505F2A">
        <w:rPr>
          <w:rStyle w:val="Enfasigrassetto"/>
          <w:rFonts w:ascii="Calibri" w:eastAsiaTheme="majorEastAsia" w:hAnsi="Calibri" w:cs="Calibri"/>
          <w:sz w:val="22"/>
          <w:szCs w:val="22"/>
        </w:rPr>
        <w:t xml:space="preserve"> tra vantaggi e ostacoli. L’IA corre più forte dei player di settore?”</w:t>
      </w:r>
      <w:r w:rsidRPr="00505F2A">
        <w:rPr>
          <w:rFonts w:ascii="Calibri" w:hAnsi="Calibri" w:cs="Calibri"/>
          <w:sz w:val="22"/>
          <w:szCs w:val="22"/>
        </w:rPr>
        <w:t xml:space="preserve">: Un confronto tra i principali manager di </w:t>
      </w:r>
      <w:r w:rsidRPr="00505F2A">
        <w:rPr>
          <w:rStyle w:val="Enfasigrassetto"/>
          <w:rFonts w:ascii="Calibri" w:eastAsiaTheme="majorEastAsia" w:hAnsi="Calibri" w:cs="Calibri"/>
          <w:sz w:val="22"/>
          <w:szCs w:val="22"/>
        </w:rPr>
        <w:t>Planetaria Hotels, Grand Hotel et de Milan, Accor e Lindbergh Hotels</w:t>
      </w:r>
      <w:r w:rsidRPr="00505F2A">
        <w:rPr>
          <w:rFonts w:ascii="Calibri" w:hAnsi="Calibri" w:cs="Calibri"/>
          <w:b/>
          <w:bCs/>
          <w:sz w:val="22"/>
          <w:szCs w:val="22"/>
        </w:rPr>
        <w:t xml:space="preserve">, </w:t>
      </w:r>
      <w:r w:rsidRPr="00505F2A">
        <w:rPr>
          <w:rFonts w:ascii="Calibri" w:hAnsi="Calibri" w:cs="Calibri"/>
          <w:sz w:val="22"/>
          <w:szCs w:val="22"/>
        </w:rPr>
        <w:t xml:space="preserve">che si interrogheranno su come trasformare l’intelligenza artificiale da sfida a opportunità, restando competitivi e in linea con le aspettative di viaggiatori sempre più digitali. </w:t>
      </w:r>
      <w:r w:rsidR="00D4411B" w:rsidRPr="00D4411B">
        <w:rPr>
          <w:rFonts w:ascii="Calibri" w:hAnsi="Calibri" w:cs="Calibri"/>
          <w:sz w:val="22"/>
          <w:szCs w:val="22"/>
        </w:rPr>
        <w:t>Il focus sull’</w:t>
      </w:r>
      <w:proofErr w:type="spellStart"/>
      <w:r w:rsidR="00D4411B" w:rsidRPr="00D4411B">
        <w:rPr>
          <w:rFonts w:ascii="Calibri" w:hAnsi="Calibri" w:cs="Calibri"/>
          <w:sz w:val="22"/>
          <w:szCs w:val="22"/>
        </w:rPr>
        <w:t>hotellerie</w:t>
      </w:r>
      <w:proofErr w:type="spellEnd"/>
      <w:r w:rsidR="00D4411B" w:rsidRPr="00D4411B">
        <w:rPr>
          <w:rFonts w:ascii="Calibri" w:hAnsi="Calibri" w:cs="Calibri"/>
          <w:sz w:val="22"/>
          <w:szCs w:val="22"/>
        </w:rPr>
        <w:t xml:space="preserve"> si estende anche alle arene delle manifestazioni, dove sono in calendario talk e tavole rotonde sulla nuova era dell’</w:t>
      </w:r>
      <w:proofErr w:type="spellStart"/>
      <w:r w:rsidR="00D4411B" w:rsidRPr="00D4411B">
        <w:rPr>
          <w:rFonts w:ascii="Calibri" w:hAnsi="Calibri" w:cs="Calibri"/>
          <w:sz w:val="22"/>
          <w:szCs w:val="22"/>
        </w:rPr>
        <w:t>hospitality</w:t>
      </w:r>
      <w:proofErr w:type="spellEnd"/>
      <w:r w:rsidR="00D4411B" w:rsidRPr="00D4411B">
        <w:rPr>
          <w:rFonts w:ascii="Calibri" w:hAnsi="Calibri" w:cs="Calibri"/>
          <w:sz w:val="22"/>
          <w:szCs w:val="22"/>
        </w:rPr>
        <w:t>, sul ruolo dell’IA per hotel e destinazioni, e sulla formazione delle nuove professionalità del turismo.</w:t>
      </w:r>
      <w:r w:rsidR="00505F2A" w:rsidRPr="00505F2A">
        <w:rPr>
          <w:rFonts w:ascii="Calibri" w:hAnsi="Calibri" w:cs="Calibri"/>
          <w:sz w:val="22"/>
          <w:szCs w:val="22"/>
        </w:rPr>
        <w:t xml:space="preserve"> Il programma prosegue tracciando </w:t>
      </w:r>
      <w:r w:rsidR="00505F2A" w:rsidRPr="00505F2A">
        <w:rPr>
          <w:rFonts w:ascii="Calibri" w:hAnsi="Calibri" w:cs="Calibri"/>
          <w:b/>
          <w:bCs/>
          <w:sz w:val="22"/>
          <w:szCs w:val="22"/>
        </w:rPr>
        <w:t>due percorsi complementari per chi lavora nell’</w:t>
      </w:r>
      <w:proofErr w:type="spellStart"/>
      <w:r w:rsidR="00505F2A" w:rsidRPr="00505F2A">
        <w:rPr>
          <w:rFonts w:ascii="Calibri" w:hAnsi="Calibri" w:cs="Calibri"/>
          <w:b/>
          <w:bCs/>
          <w:sz w:val="22"/>
          <w:szCs w:val="22"/>
        </w:rPr>
        <w:t>hotellerie</w:t>
      </w:r>
      <w:proofErr w:type="spellEnd"/>
      <w:r w:rsidR="00505F2A" w:rsidRPr="00505F2A">
        <w:rPr>
          <w:rFonts w:ascii="Calibri" w:hAnsi="Calibri" w:cs="Calibri"/>
          <w:sz w:val="22"/>
          <w:szCs w:val="22"/>
        </w:rPr>
        <w:t xml:space="preserve">. Da un lato, i momenti dedicati alla visione strategica: sessioni pensate per aiutare gli operatori a far dialogare </w:t>
      </w:r>
      <w:r w:rsidR="00505F2A" w:rsidRPr="00505F2A">
        <w:rPr>
          <w:rFonts w:ascii="Calibri" w:hAnsi="Calibri" w:cs="Calibri"/>
          <w:sz w:val="22"/>
          <w:szCs w:val="22"/>
        </w:rPr>
        <w:lastRenderedPageBreak/>
        <w:t>marketing, comunicazione e gestione dei ricavi, a riposizionare la propria struttura e ad attrarre nuovi pubblici.</w:t>
      </w:r>
      <w:r w:rsidR="00515AA3">
        <w:rPr>
          <w:rFonts w:ascii="Calibri" w:hAnsi="Calibri" w:cs="Calibri"/>
          <w:sz w:val="22"/>
          <w:szCs w:val="22"/>
        </w:rPr>
        <w:t xml:space="preserve"> </w:t>
      </w:r>
      <w:r w:rsidR="00505F2A" w:rsidRPr="00505F2A">
        <w:rPr>
          <w:rFonts w:ascii="Calibri" w:hAnsi="Calibri" w:cs="Calibri"/>
          <w:sz w:val="22"/>
          <w:szCs w:val="22"/>
        </w:rPr>
        <w:t>Dall’altro</w:t>
      </w:r>
      <w:r w:rsidR="00515AA3">
        <w:rPr>
          <w:rFonts w:ascii="Calibri" w:hAnsi="Calibri" w:cs="Calibri"/>
          <w:sz w:val="22"/>
          <w:szCs w:val="22"/>
        </w:rPr>
        <w:t>, g</w:t>
      </w:r>
      <w:r w:rsidR="00505F2A" w:rsidRPr="00505F2A">
        <w:rPr>
          <w:rFonts w:ascii="Calibri" w:hAnsi="Calibri" w:cs="Calibri"/>
          <w:sz w:val="22"/>
          <w:szCs w:val="22"/>
        </w:rPr>
        <w:t xml:space="preserve">li appuntamenti più pratici, dove si entra nel vivo di </w:t>
      </w:r>
      <w:r w:rsidR="00505F2A" w:rsidRPr="00505F2A">
        <w:rPr>
          <w:rFonts w:ascii="Calibri" w:hAnsi="Calibri" w:cs="Calibri"/>
          <w:b/>
          <w:bCs/>
          <w:sz w:val="22"/>
          <w:szCs w:val="22"/>
        </w:rPr>
        <w:t xml:space="preserve">strategie digitali, diversificazione dell’offerta </w:t>
      </w:r>
      <w:r w:rsidR="00505F2A" w:rsidRPr="00505F2A">
        <w:rPr>
          <w:rFonts w:ascii="Calibri" w:hAnsi="Calibri" w:cs="Calibri"/>
          <w:sz w:val="22"/>
          <w:szCs w:val="22"/>
        </w:rPr>
        <w:t xml:space="preserve">e strumenti applicabili per </w:t>
      </w:r>
      <w:r w:rsidR="00505F2A" w:rsidRPr="00505F2A">
        <w:rPr>
          <w:rFonts w:ascii="Calibri" w:hAnsi="Calibri" w:cs="Calibri"/>
          <w:b/>
          <w:bCs/>
          <w:sz w:val="22"/>
          <w:szCs w:val="22"/>
        </w:rPr>
        <w:t>migliorare la redditività</w:t>
      </w:r>
      <w:r w:rsidR="00505F2A" w:rsidRPr="00505F2A">
        <w:rPr>
          <w:rFonts w:ascii="Calibri" w:hAnsi="Calibri" w:cs="Calibri"/>
          <w:sz w:val="22"/>
          <w:szCs w:val="22"/>
        </w:rPr>
        <w:t xml:space="preserve"> e rendere più solida la gestione delle strutture.</w:t>
      </w:r>
    </w:p>
    <w:p w14:paraId="76466A11" w14:textId="77777777" w:rsidR="00515AA3" w:rsidRPr="00505F2A" w:rsidRDefault="00515AA3" w:rsidP="008F660D">
      <w:pPr>
        <w:pStyle w:val="NormaleWeb"/>
        <w:spacing w:before="0" w:beforeAutospacing="0" w:after="0" w:afterAutospacing="0"/>
        <w:jc w:val="both"/>
        <w:rPr>
          <w:rFonts w:ascii="Calibri" w:hAnsi="Calibri" w:cs="Calibri"/>
          <w:b/>
          <w:bCs/>
          <w:sz w:val="22"/>
          <w:szCs w:val="22"/>
        </w:rPr>
      </w:pP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9"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10"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1"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2" w:history="1">
        <w:r w:rsidRPr="00D32287">
          <w:rPr>
            <w:rStyle w:val="Collegamentoipertestuale"/>
            <w:sz w:val="18"/>
            <w:szCs w:val="18"/>
          </w:rPr>
          <w:t>fabrizio@mindthepop.it</w:t>
        </w:r>
      </w:hyperlink>
      <w:r w:rsidRPr="00D32287">
        <w:rPr>
          <w:sz w:val="18"/>
          <w:szCs w:val="18"/>
        </w:rPr>
        <w:t xml:space="preserve">, mob. +39 335 389 848; Benedetto Colli: </w:t>
      </w:r>
      <w:hyperlink r:id="rId13" w:history="1">
        <w:r w:rsidRPr="00D32287">
          <w:rPr>
            <w:rStyle w:val="Collegamentoipertestuale"/>
            <w:sz w:val="18"/>
            <w:szCs w:val="18"/>
          </w:rPr>
          <w:t>benedetto@mindthepop.it</w:t>
        </w:r>
      </w:hyperlink>
      <w:r w:rsidRPr="00D32287">
        <w:rPr>
          <w:sz w:val="18"/>
          <w:szCs w:val="18"/>
        </w:rPr>
        <w:t xml:space="preserve">, mob. 380 371 2272; Stefano Chiossi: </w:t>
      </w:r>
      <w:hyperlink r:id="rId14"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C3F3" w14:textId="77777777" w:rsidR="00E84ECA" w:rsidRDefault="00E84ECA" w:rsidP="00D32287">
      <w:pPr>
        <w:spacing w:after="0" w:line="240" w:lineRule="auto"/>
      </w:pPr>
      <w:r>
        <w:separator/>
      </w:r>
    </w:p>
  </w:endnote>
  <w:endnote w:type="continuationSeparator" w:id="0">
    <w:p w14:paraId="353B8F7A" w14:textId="77777777" w:rsidR="00E84ECA" w:rsidRDefault="00E84ECA"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2725" w14:textId="77777777" w:rsidR="00E84ECA" w:rsidRDefault="00E84ECA" w:rsidP="00D32287">
      <w:pPr>
        <w:spacing w:after="0" w:line="240" w:lineRule="auto"/>
      </w:pPr>
      <w:r>
        <w:separator/>
      </w:r>
    </w:p>
  </w:footnote>
  <w:footnote w:type="continuationSeparator" w:id="0">
    <w:p w14:paraId="45A93AC2" w14:textId="77777777" w:rsidR="00E84ECA" w:rsidRDefault="00E84ECA"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072BEA"/>
    <w:multiLevelType w:val="hybridMultilevel"/>
    <w:tmpl w:val="B5B2D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A75FBE"/>
    <w:multiLevelType w:val="multilevel"/>
    <w:tmpl w:val="850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4"/>
  </w:num>
  <w:num w:numId="4" w16cid:durableId="614606354">
    <w:abstractNumId w:val="2"/>
  </w:num>
  <w:num w:numId="5" w16cid:durableId="910627614">
    <w:abstractNumId w:val="3"/>
  </w:num>
  <w:num w:numId="6" w16cid:durableId="111968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3F10"/>
    <w:rsid w:val="00085BF7"/>
    <w:rsid w:val="00087FC8"/>
    <w:rsid w:val="00091370"/>
    <w:rsid w:val="000A0D30"/>
    <w:rsid w:val="000B04F5"/>
    <w:rsid w:val="000B38AD"/>
    <w:rsid w:val="000B627E"/>
    <w:rsid w:val="000B6393"/>
    <w:rsid w:val="000C23A1"/>
    <w:rsid w:val="000D5718"/>
    <w:rsid w:val="000E39AB"/>
    <w:rsid w:val="000F5DB2"/>
    <w:rsid w:val="001148C5"/>
    <w:rsid w:val="00135135"/>
    <w:rsid w:val="00135538"/>
    <w:rsid w:val="001364CD"/>
    <w:rsid w:val="001437E7"/>
    <w:rsid w:val="001458F9"/>
    <w:rsid w:val="00150B7A"/>
    <w:rsid w:val="00160C3C"/>
    <w:rsid w:val="00166E89"/>
    <w:rsid w:val="0017179E"/>
    <w:rsid w:val="00175571"/>
    <w:rsid w:val="00176109"/>
    <w:rsid w:val="001A17C5"/>
    <w:rsid w:val="001A2FD7"/>
    <w:rsid w:val="001B58C1"/>
    <w:rsid w:val="001C08E8"/>
    <w:rsid w:val="001C0946"/>
    <w:rsid w:val="001C5A02"/>
    <w:rsid w:val="001F0D2E"/>
    <w:rsid w:val="001F29BA"/>
    <w:rsid w:val="001F4BFE"/>
    <w:rsid w:val="001F5C1E"/>
    <w:rsid w:val="00200379"/>
    <w:rsid w:val="00211A24"/>
    <w:rsid w:val="00254923"/>
    <w:rsid w:val="00263C53"/>
    <w:rsid w:val="00272A3A"/>
    <w:rsid w:val="002758B6"/>
    <w:rsid w:val="00285785"/>
    <w:rsid w:val="00287889"/>
    <w:rsid w:val="00290D02"/>
    <w:rsid w:val="00294AE9"/>
    <w:rsid w:val="002A18D9"/>
    <w:rsid w:val="002A49E4"/>
    <w:rsid w:val="002B2AF0"/>
    <w:rsid w:val="002D22C9"/>
    <w:rsid w:val="002F48B6"/>
    <w:rsid w:val="00300EA7"/>
    <w:rsid w:val="00314CAB"/>
    <w:rsid w:val="00316014"/>
    <w:rsid w:val="003356D7"/>
    <w:rsid w:val="0034253A"/>
    <w:rsid w:val="00344E96"/>
    <w:rsid w:val="003454C7"/>
    <w:rsid w:val="00347500"/>
    <w:rsid w:val="003503C5"/>
    <w:rsid w:val="00351D6A"/>
    <w:rsid w:val="0035210C"/>
    <w:rsid w:val="00354D63"/>
    <w:rsid w:val="00363AB4"/>
    <w:rsid w:val="00364189"/>
    <w:rsid w:val="00384359"/>
    <w:rsid w:val="003851EE"/>
    <w:rsid w:val="0039451C"/>
    <w:rsid w:val="00395EDC"/>
    <w:rsid w:val="003B6821"/>
    <w:rsid w:val="003C0B92"/>
    <w:rsid w:val="003C1E5C"/>
    <w:rsid w:val="003C3F73"/>
    <w:rsid w:val="003C4B4D"/>
    <w:rsid w:val="003D54B6"/>
    <w:rsid w:val="003E1951"/>
    <w:rsid w:val="003E2E20"/>
    <w:rsid w:val="003F248A"/>
    <w:rsid w:val="003F41A0"/>
    <w:rsid w:val="00412389"/>
    <w:rsid w:val="0043315B"/>
    <w:rsid w:val="0043469B"/>
    <w:rsid w:val="00435256"/>
    <w:rsid w:val="004367E3"/>
    <w:rsid w:val="00451C25"/>
    <w:rsid w:val="00456B88"/>
    <w:rsid w:val="00465D7C"/>
    <w:rsid w:val="00465F95"/>
    <w:rsid w:val="00482E6A"/>
    <w:rsid w:val="0049494C"/>
    <w:rsid w:val="004A1A67"/>
    <w:rsid w:val="004A3E17"/>
    <w:rsid w:val="004B63EE"/>
    <w:rsid w:val="004D06CD"/>
    <w:rsid w:val="004E5AD0"/>
    <w:rsid w:val="004E5E3A"/>
    <w:rsid w:val="004F6310"/>
    <w:rsid w:val="004F7DC8"/>
    <w:rsid w:val="00505F2A"/>
    <w:rsid w:val="00507928"/>
    <w:rsid w:val="00515AA3"/>
    <w:rsid w:val="005234F8"/>
    <w:rsid w:val="00524B3D"/>
    <w:rsid w:val="005313B9"/>
    <w:rsid w:val="00542E2E"/>
    <w:rsid w:val="00550A8F"/>
    <w:rsid w:val="005516B0"/>
    <w:rsid w:val="00557E6F"/>
    <w:rsid w:val="005648F8"/>
    <w:rsid w:val="00572508"/>
    <w:rsid w:val="00580DF3"/>
    <w:rsid w:val="00585975"/>
    <w:rsid w:val="00587269"/>
    <w:rsid w:val="0059095E"/>
    <w:rsid w:val="00591E46"/>
    <w:rsid w:val="005A5646"/>
    <w:rsid w:val="005A7FBB"/>
    <w:rsid w:val="005B36CA"/>
    <w:rsid w:val="005B5FA5"/>
    <w:rsid w:val="005D3EFB"/>
    <w:rsid w:val="005D5165"/>
    <w:rsid w:val="005E44B5"/>
    <w:rsid w:val="006203E0"/>
    <w:rsid w:val="006327D7"/>
    <w:rsid w:val="00670424"/>
    <w:rsid w:val="00675E96"/>
    <w:rsid w:val="00682E1A"/>
    <w:rsid w:val="006907E9"/>
    <w:rsid w:val="00695B5D"/>
    <w:rsid w:val="006A0FA9"/>
    <w:rsid w:val="006A25CC"/>
    <w:rsid w:val="006A3CEB"/>
    <w:rsid w:val="006A5158"/>
    <w:rsid w:val="006A6040"/>
    <w:rsid w:val="006B0797"/>
    <w:rsid w:val="006B5475"/>
    <w:rsid w:val="006D3EC4"/>
    <w:rsid w:val="006F5292"/>
    <w:rsid w:val="006F75C9"/>
    <w:rsid w:val="0074667C"/>
    <w:rsid w:val="00753ED5"/>
    <w:rsid w:val="00757AFF"/>
    <w:rsid w:val="00774381"/>
    <w:rsid w:val="00777102"/>
    <w:rsid w:val="00777512"/>
    <w:rsid w:val="007808CD"/>
    <w:rsid w:val="00780CE7"/>
    <w:rsid w:val="00790F19"/>
    <w:rsid w:val="00793019"/>
    <w:rsid w:val="007C539A"/>
    <w:rsid w:val="007D2954"/>
    <w:rsid w:val="0080299D"/>
    <w:rsid w:val="00802AE9"/>
    <w:rsid w:val="00814F93"/>
    <w:rsid w:val="00815807"/>
    <w:rsid w:val="00817768"/>
    <w:rsid w:val="00826EFB"/>
    <w:rsid w:val="00826F2F"/>
    <w:rsid w:val="008351CB"/>
    <w:rsid w:val="00837F04"/>
    <w:rsid w:val="00845B2D"/>
    <w:rsid w:val="008510E0"/>
    <w:rsid w:val="008573FC"/>
    <w:rsid w:val="00861C00"/>
    <w:rsid w:val="00865A6C"/>
    <w:rsid w:val="00866FFB"/>
    <w:rsid w:val="008718F5"/>
    <w:rsid w:val="00877232"/>
    <w:rsid w:val="008841BF"/>
    <w:rsid w:val="00884B02"/>
    <w:rsid w:val="0088617B"/>
    <w:rsid w:val="00890ABF"/>
    <w:rsid w:val="00891099"/>
    <w:rsid w:val="00897683"/>
    <w:rsid w:val="008A294D"/>
    <w:rsid w:val="008C137D"/>
    <w:rsid w:val="008E4058"/>
    <w:rsid w:val="008E4BA2"/>
    <w:rsid w:val="008E5DC1"/>
    <w:rsid w:val="008F660D"/>
    <w:rsid w:val="008F6C7A"/>
    <w:rsid w:val="0092684E"/>
    <w:rsid w:val="0092771F"/>
    <w:rsid w:val="00936E39"/>
    <w:rsid w:val="0096405A"/>
    <w:rsid w:val="00981E5D"/>
    <w:rsid w:val="00983262"/>
    <w:rsid w:val="00993731"/>
    <w:rsid w:val="009B568A"/>
    <w:rsid w:val="009C1D77"/>
    <w:rsid w:val="009C30BB"/>
    <w:rsid w:val="009C4157"/>
    <w:rsid w:val="009D7613"/>
    <w:rsid w:val="009E5284"/>
    <w:rsid w:val="009F0AE2"/>
    <w:rsid w:val="009F6A63"/>
    <w:rsid w:val="00A177F5"/>
    <w:rsid w:val="00A24873"/>
    <w:rsid w:val="00A24AEC"/>
    <w:rsid w:val="00A33A8F"/>
    <w:rsid w:val="00A34FB0"/>
    <w:rsid w:val="00A41C1A"/>
    <w:rsid w:val="00A43DF2"/>
    <w:rsid w:val="00A53692"/>
    <w:rsid w:val="00A66FF7"/>
    <w:rsid w:val="00A84F79"/>
    <w:rsid w:val="00A87394"/>
    <w:rsid w:val="00A9107B"/>
    <w:rsid w:val="00A91C8B"/>
    <w:rsid w:val="00A93A00"/>
    <w:rsid w:val="00AB0C12"/>
    <w:rsid w:val="00AB639B"/>
    <w:rsid w:val="00AE01AA"/>
    <w:rsid w:val="00AE36E9"/>
    <w:rsid w:val="00AE4D68"/>
    <w:rsid w:val="00AF4DF7"/>
    <w:rsid w:val="00AF7995"/>
    <w:rsid w:val="00AF7DB9"/>
    <w:rsid w:val="00B056CC"/>
    <w:rsid w:val="00B22342"/>
    <w:rsid w:val="00B255CB"/>
    <w:rsid w:val="00B313A5"/>
    <w:rsid w:val="00B32D81"/>
    <w:rsid w:val="00B36189"/>
    <w:rsid w:val="00B51DB1"/>
    <w:rsid w:val="00B5295A"/>
    <w:rsid w:val="00B54D17"/>
    <w:rsid w:val="00B576A4"/>
    <w:rsid w:val="00B602A6"/>
    <w:rsid w:val="00B618F4"/>
    <w:rsid w:val="00B6347F"/>
    <w:rsid w:val="00B67EB6"/>
    <w:rsid w:val="00B84968"/>
    <w:rsid w:val="00B87CB0"/>
    <w:rsid w:val="00BA14AE"/>
    <w:rsid w:val="00BC34A7"/>
    <w:rsid w:val="00BC42AB"/>
    <w:rsid w:val="00BE3959"/>
    <w:rsid w:val="00BE4CA8"/>
    <w:rsid w:val="00BF2420"/>
    <w:rsid w:val="00BF255F"/>
    <w:rsid w:val="00C03526"/>
    <w:rsid w:val="00C05C77"/>
    <w:rsid w:val="00C12011"/>
    <w:rsid w:val="00C1739A"/>
    <w:rsid w:val="00C224CF"/>
    <w:rsid w:val="00C24AC2"/>
    <w:rsid w:val="00C2752D"/>
    <w:rsid w:val="00C463BF"/>
    <w:rsid w:val="00C46598"/>
    <w:rsid w:val="00C51247"/>
    <w:rsid w:val="00C73E22"/>
    <w:rsid w:val="00C73F15"/>
    <w:rsid w:val="00C845CF"/>
    <w:rsid w:val="00CA7427"/>
    <w:rsid w:val="00CC3B27"/>
    <w:rsid w:val="00CD394C"/>
    <w:rsid w:val="00CE084A"/>
    <w:rsid w:val="00CE58E1"/>
    <w:rsid w:val="00CF00D1"/>
    <w:rsid w:val="00CF2D00"/>
    <w:rsid w:val="00CF5191"/>
    <w:rsid w:val="00CF5456"/>
    <w:rsid w:val="00D027C0"/>
    <w:rsid w:val="00D0488C"/>
    <w:rsid w:val="00D04DDA"/>
    <w:rsid w:val="00D204D2"/>
    <w:rsid w:val="00D207E6"/>
    <w:rsid w:val="00D2118E"/>
    <w:rsid w:val="00D274DE"/>
    <w:rsid w:val="00D30775"/>
    <w:rsid w:val="00D32287"/>
    <w:rsid w:val="00D34821"/>
    <w:rsid w:val="00D4386F"/>
    <w:rsid w:val="00D4411B"/>
    <w:rsid w:val="00D4631D"/>
    <w:rsid w:val="00D614CC"/>
    <w:rsid w:val="00D6229D"/>
    <w:rsid w:val="00D67167"/>
    <w:rsid w:val="00D757CA"/>
    <w:rsid w:val="00D86C8E"/>
    <w:rsid w:val="00D955D5"/>
    <w:rsid w:val="00D96228"/>
    <w:rsid w:val="00DB6B98"/>
    <w:rsid w:val="00DC147E"/>
    <w:rsid w:val="00DD15DF"/>
    <w:rsid w:val="00DE02F1"/>
    <w:rsid w:val="00DE1D65"/>
    <w:rsid w:val="00DF11AA"/>
    <w:rsid w:val="00DF3CE9"/>
    <w:rsid w:val="00E00FA8"/>
    <w:rsid w:val="00E042C2"/>
    <w:rsid w:val="00E12F21"/>
    <w:rsid w:val="00E14BB6"/>
    <w:rsid w:val="00E17A3C"/>
    <w:rsid w:val="00E26884"/>
    <w:rsid w:val="00E36D3B"/>
    <w:rsid w:val="00E403F9"/>
    <w:rsid w:val="00E41EF0"/>
    <w:rsid w:val="00E51A0C"/>
    <w:rsid w:val="00E55DF4"/>
    <w:rsid w:val="00E5784E"/>
    <w:rsid w:val="00E81067"/>
    <w:rsid w:val="00E84ECA"/>
    <w:rsid w:val="00EA3225"/>
    <w:rsid w:val="00EF6C86"/>
    <w:rsid w:val="00F05004"/>
    <w:rsid w:val="00F16AF3"/>
    <w:rsid w:val="00F244CE"/>
    <w:rsid w:val="00F256F9"/>
    <w:rsid w:val="00F25AB9"/>
    <w:rsid w:val="00F65002"/>
    <w:rsid w:val="00F77900"/>
    <w:rsid w:val="00FB281E"/>
    <w:rsid w:val="00FB6837"/>
    <w:rsid w:val="00FC1B50"/>
    <w:rsid w:val="00FC278A"/>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4367E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436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ut.it" TargetMode="External"/><Relationship Id="rId13" Type="http://schemas.openxmlformats.org/officeDocument/2006/relationships/hyperlink" Target="mailto:benedett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fabrizio@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2.jpg@01DBBDB0.A6143E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133</TotalTime>
  <Pages>2</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70</cp:revision>
  <cp:lastPrinted>2025-04-28T07:29:00Z</cp:lastPrinted>
  <dcterms:created xsi:type="dcterms:W3CDTF">2025-09-16T16:02:00Z</dcterms:created>
  <dcterms:modified xsi:type="dcterms:W3CDTF">2025-10-01T14:06:00Z</dcterms:modified>
</cp:coreProperties>
</file>