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83E83" w14:textId="2D4C0229" w:rsidR="008D3411" w:rsidRDefault="008D3411" w:rsidP="00161B33">
      <w:pPr>
        <w:jc w:val="center"/>
        <w:rPr>
          <w:rFonts w:ascii="Calibri" w:hAnsi="Calibri" w:cs="Calibri"/>
          <w:i/>
          <w:iCs/>
        </w:rPr>
      </w:pPr>
      <w:r>
        <w:rPr>
          <w:rFonts w:ascii="Calibri" w:hAnsi="Calibri" w:cs="Calibri"/>
          <w:i/>
          <w:iCs/>
          <w:noProof/>
        </w:rPr>
        <w:drawing>
          <wp:inline distT="0" distB="0" distL="0" distR="0" wp14:anchorId="57FBAB8C" wp14:editId="4318932F">
            <wp:extent cx="6120130" cy="734695"/>
            <wp:effectExtent l="0" t="0" r="0" b="8255"/>
            <wp:docPr id="151902674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026742" name="Immagine 1519026742"/>
                    <pic:cNvPicPr/>
                  </pic:nvPicPr>
                  <pic:blipFill>
                    <a:blip r:embed="rId5">
                      <a:extLst>
                        <a:ext uri="{28A0092B-C50C-407E-A947-70E740481C1C}">
                          <a14:useLocalDpi xmlns:a14="http://schemas.microsoft.com/office/drawing/2010/main" val="0"/>
                        </a:ext>
                      </a:extLst>
                    </a:blip>
                    <a:stretch>
                      <a:fillRect/>
                    </a:stretch>
                  </pic:blipFill>
                  <pic:spPr>
                    <a:xfrm>
                      <a:off x="0" y="0"/>
                      <a:ext cx="6120130" cy="734695"/>
                    </a:xfrm>
                    <a:prstGeom prst="rect">
                      <a:avLst/>
                    </a:prstGeom>
                  </pic:spPr>
                </pic:pic>
              </a:graphicData>
            </a:graphic>
          </wp:inline>
        </w:drawing>
      </w:r>
    </w:p>
    <w:p w14:paraId="1FD520CE" w14:textId="77777777" w:rsidR="008D3411" w:rsidRDefault="008D3411" w:rsidP="00161B33">
      <w:pPr>
        <w:jc w:val="center"/>
        <w:rPr>
          <w:rFonts w:ascii="Calibri" w:hAnsi="Calibri" w:cs="Calibri"/>
          <w:i/>
          <w:iCs/>
        </w:rPr>
      </w:pPr>
    </w:p>
    <w:p w14:paraId="1CC5B970" w14:textId="09230721" w:rsidR="00161B33" w:rsidRDefault="00161B33" w:rsidP="00161B33">
      <w:pPr>
        <w:jc w:val="center"/>
        <w:rPr>
          <w:rFonts w:ascii="Calibri" w:hAnsi="Calibri" w:cs="Calibri"/>
          <w:i/>
          <w:iCs/>
        </w:rPr>
      </w:pPr>
      <w:r>
        <w:rPr>
          <w:rFonts w:ascii="Calibri" w:hAnsi="Calibri" w:cs="Calibri"/>
          <w:i/>
          <w:iCs/>
        </w:rPr>
        <w:t>nota stampa n. 9</w:t>
      </w:r>
    </w:p>
    <w:p w14:paraId="6867BB5A" w14:textId="77777777" w:rsidR="00161B33" w:rsidRDefault="00161B33" w:rsidP="00161B33">
      <w:pPr>
        <w:pStyle w:val="Paragrafoelenco"/>
        <w:spacing w:before="100" w:beforeAutospacing="1" w:after="100" w:afterAutospacing="1" w:line="240" w:lineRule="auto"/>
        <w:ind w:left="284"/>
        <w:jc w:val="center"/>
        <w:rPr>
          <w:rFonts w:ascii="Calibri" w:hAnsi="Calibri" w:cs="Calibri"/>
          <w:b/>
          <w:bCs/>
          <w:sz w:val="28"/>
          <w:szCs w:val="28"/>
        </w:rPr>
      </w:pPr>
      <w:r>
        <w:rPr>
          <w:rFonts w:ascii="Calibri" w:hAnsi="Calibri" w:cs="Calibri"/>
          <w:b/>
          <w:bCs/>
          <w:sz w:val="28"/>
          <w:szCs w:val="28"/>
        </w:rPr>
        <w:t>RIMINI: IL MINISTRO SANTANCHÈ HA INAUGURATO LE FIERE DEL TURISMO E DELL’HOSPITALITY TTG E INOUT 2025</w:t>
      </w:r>
    </w:p>
    <w:p w14:paraId="6E8B5857" w14:textId="77777777" w:rsidR="00161B33" w:rsidRDefault="00161B33" w:rsidP="00161B33">
      <w:pPr>
        <w:pStyle w:val="Paragrafoelenco"/>
        <w:spacing w:before="100" w:beforeAutospacing="1" w:after="100" w:afterAutospacing="1" w:line="240" w:lineRule="auto"/>
        <w:ind w:left="284"/>
        <w:jc w:val="center"/>
        <w:rPr>
          <w:rFonts w:ascii="Calibri" w:hAnsi="Calibri" w:cs="Calibri"/>
          <w:b/>
          <w:bCs/>
          <w:sz w:val="28"/>
          <w:szCs w:val="28"/>
        </w:rPr>
      </w:pPr>
    </w:p>
    <w:p w14:paraId="72C8E9FA" w14:textId="77777777" w:rsidR="00161B33" w:rsidRDefault="00161B33" w:rsidP="00161B33">
      <w:pPr>
        <w:pStyle w:val="Paragrafoelenco"/>
        <w:numPr>
          <w:ilvl w:val="0"/>
          <w:numId w:val="2"/>
        </w:numPr>
        <w:spacing w:before="100" w:beforeAutospacing="1" w:after="100" w:afterAutospacing="1" w:line="240" w:lineRule="auto"/>
        <w:ind w:left="284" w:hanging="284"/>
        <w:jc w:val="both"/>
        <w:rPr>
          <w:rFonts w:ascii="Calibri" w:hAnsi="Calibri" w:cs="Calibri"/>
          <w:b/>
          <w:bCs/>
          <w:sz w:val="24"/>
          <w:szCs w:val="24"/>
        </w:rPr>
      </w:pPr>
      <w:r>
        <w:rPr>
          <w:rFonts w:ascii="Calibri" w:hAnsi="Calibri" w:cs="Calibri"/>
          <w:b/>
          <w:bCs/>
          <w:sz w:val="24"/>
          <w:szCs w:val="24"/>
        </w:rPr>
        <w:t xml:space="preserve">Al taglio del nastro anche il vicepresidente del Senato Gian Marco Centinaio. Interventi di don Massimo </w:t>
      </w:r>
      <w:proofErr w:type="spellStart"/>
      <w:r>
        <w:rPr>
          <w:rFonts w:ascii="Calibri" w:hAnsi="Calibri" w:cs="Calibri"/>
          <w:b/>
          <w:bCs/>
          <w:sz w:val="24"/>
          <w:szCs w:val="24"/>
        </w:rPr>
        <w:t>Vacchetti</w:t>
      </w:r>
      <w:proofErr w:type="spellEnd"/>
      <w:r>
        <w:rPr>
          <w:rFonts w:ascii="Calibri" w:hAnsi="Calibri" w:cs="Calibri"/>
          <w:b/>
          <w:bCs/>
          <w:sz w:val="24"/>
          <w:szCs w:val="24"/>
        </w:rPr>
        <w:t>, direttore per la Pastorale del Turismo della Diocesi di Bologna, Maurizio Ermeti, presidente di Italian Exhibition Group, Jamil Sadegholvaad, sindaco di Rimini e Roberta Frisoni, assessora al Turismo, Commercio e Sport della Regione Emilia-Romagna</w:t>
      </w:r>
    </w:p>
    <w:p w14:paraId="20C51D13" w14:textId="77777777" w:rsidR="00161B33" w:rsidRDefault="00161B33" w:rsidP="00161B33">
      <w:pPr>
        <w:pStyle w:val="Paragrafoelenco"/>
        <w:rPr>
          <w:rFonts w:ascii="Calibri" w:hAnsi="Calibri" w:cs="Calibri"/>
          <w:b/>
          <w:bCs/>
          <w:sz w:val="24"/>
          <w:szCs w:val="24"/>
        </w:rPr>
      </w:pPr>
    </w:p>
    <w:p w14:paraId="44F9221E" w14:textId="77777777" w:rsidR="00161B33" w:rsidRDefault="00161B33" w:rsidP="00161B33">
      <w:pPr>
        <w:pStyle w:val="Paragrafoelenco"/>
        <w:spacing w:before="100" w:beforeAutospacing="1" w:after="100" w:afterAutospacing="1" w:line="240" w:lineRule="auto"/>
        <w:jc w:val="center"/>
        <w:rPr>
          <w:rFonts w:ascii="Aptos" w:hAnsi="Aptos" w:cs="Aptos"/>
        </w:rPr>
      </w:pPr>
    </w:p>
    <w:p w14:paraId="249EA5ED" w14:textId="77777777" w:rsidR="00161B33" w:rsidRDefault="00161B33" w:rsidP="00161B33">
      <w:pPr>
        <w:pStyle w:val="Paragrafoelenco"/>
        <w:spacing w:before="100" w:beforeAutospacing="1" w:after="100" w:afterAutospacing="1" w:line="240" w:lineRule="auto"/>
        <w:jc w:val="center"/>
        <w:rPr>
          <w:rFonts w:ascii="Calibri" w:hAnsi="Calibri" w:cs="Calibri"/>
          <w:sz w:val="24"/>
          <w:szCs w:val="24"/>
          <w:lang w:eastAsia="it-IT"/>
          <w14:ligatures w14:val="none"/>
        </w:rPr>
      </w:pPr>
      <w:hyperlink r:id="rId6" w:history="1">
        <w:r>
          <w:rPr>
            <w:rStyle w:val="Collegamentoipertestuale"/>
            <w:rFonts w:ascii="Calibri" w:hAnsi="Calibri" w:cs="Calibri"/>
            <w:sz w:val="24"/>
            <w:szCs w:val="24"/>
            <w:lang w:eastAsia="it-IT"/>
            <w14:ligatures w14:val="none"/>
          </w:rPr>
          <w:t>www.ttgexpo.it</w:t>
        </w:r>
      </w:hyperlink>
      <w:r>
        <w:rPr>
          <w:rFonts w:ascii="Calibri" w:hAnsi="Calibri" w:cs="Calibri"/>
          <w:sz w:val="24"/>
          <w:szCs w:val="24"/>
          <w:lang w:eastAsia="it-IT"/>
          <w14:ligatures w14:val="none"/>
        </w:rPr>
        <w:t xml:space="preserve"> | </w:t>
      </w:r>
      <w:hyperlink r:id="rId7" w:history="1">
        <w:r>
          <w:rPr>
            <w:rStyle w:val="Collegamentoipertestuale"/>
            <w:rFonts w:ascii="Calibri" w:hAnsi="Calibri" w:cs="Calibri"/>
            <w:sz w:val="24"/>
            <w:szCs w:val="24"/>
            <w:lang w:eastAsia="it-IT"/>
            <w14:ligatures w14:val="none"/>
          </w:rPr>
          <w:t>www.inout.it</w:t>
        </w:r>
      </w:hyperlink>
    </w:p>
    <w:p w14:paraId="75504472" w14:textId="77777777" w:rsidR="00161B33" w:rsidRDefault="00161B33" w:rsidP="00161B33">
      <w:pPr>
        <w:jc w:val="both"/>
        <w:rPr>
          <w:rFonts w:ascii="Calibri" w:hAnsi="Calibri" w:cs="Calibri"/>
        </w:rPr>
      </w:pPr>
      <w:r>
        <w:rPr>
          <w:rFonts w:ascii="Calibri" w:hAnsi="Calibri" w:cs="Calibri"/>
          <w:i/>
          <w:iCs/>
          <w:lang w:eastAsia="it-IT"/>
          <w14:ligatures w14:val="none"/>
        </w:rPr>
        <w:t>Rimini, 8 ottobre 2025</w:t>
      </w:r>
      <w:r>
        <w:rPr>
          <w:rFonts w:ascii="Calibri" w:hAnsi="Calibri" w:cs="Calibri"/>
          <w:lang w:eastAsia="it-IT"/>
          <w14:ligatures w14:val="none"/>
        </w:rPr>
        <w:t xml:space="preserve"> –</w:t>
      </w:r>
      <w:r>
        <w:rPr>
          <w:rFonts w:ascii="Calibri" w:hAnsi="Calibri" w:cs="Calibri"/>
        </w:rPr>
        <w:t xml:space="preserve"> Una grande inaugurazione per due grandi fiere in un settore simbolo dell’Italia e del territorio che le ospita. Hanno aperto questa mattina alla Fiera di Rimini (apertura fino</w:t>
      </w:r>
      <w:r>
        <w:rPr>
          <w:rFonts w:ascii="Calibri" w:hAnsi="Calibri" w:cs="Calibri"/>
          <w:b/>
          <w:bCs/>
        </w:rPr>
        <w:t xml:space="preserve"> </w:t>
      </w:r>
      <w:r>
        <w:rPr>
          <w:rFonts w:ascii="Calibri" w:hAnsi="Calibri" w:cs="Calibri"/>
        </w:rPr>
        <w:t xml:space="preserve">al 10 ottobre), </w:t>
      </w:r>
      <w:r>
        <w:rPr>
          <w:rFonts w:ascii="Calibri" w:hAnsi="Calibri" w:cs="Calibri"/>
          <w:b/>
          <w:bCs/>
        </w:rPr>
        <w:t>TTG Travel Experience</w:t>
      </w:r>
      <w:r>
        <w:rPr>
          <w:rFonts w:ascii="Calibri" w:hAnsi="Calibri" w:cs="Calibri"/>
        </w:rPr>
        <w:t xml:space="preserve"> e </w:t>
      </w:r>
      <w:proofErr w:type="spellStart"/>
      <w:r>
        <w:rPr>
          <w:rFonts w:ascii="Calibri" w:hAnsi="Calibri" w:cs="Calibri"/>
          <w:b/>
          <w:bCs/>
        </w:rPr>
        <w:t>InOut</w:t>
      </w:r>
      <w:proofErr w:type="spellEnd"/>
      <w:r>
        <w:rPr>
          <w:rFonts w:ascii="Calibri" w:hAnsi="Calibri" w:cs="Calibri"/>
          <w:b/>
          <w:bCs/>
        </w:rPr>
        <w:t xml:space="preserve"> | The </w:t>
      </w:r>
      <w:proofErr w:type="spellStart"/>
      <w:r>
        <w:rPr>
          <w:rFonts w:ascii="Calibri" w:hAnsi="Calibri" w:cs="Calibri"/>
          <w:b/>
          <w:bCs/>
        </w:rPr>
        <w:t>Hospitality</w:t>
      </w:r>
      <w:proofErr w:type="spellEnd"/>
      <w:r>
        <w:rPr>
          <w:rFonts w:ascii="Calibri" w:hAnsi="Calibri" w:cs="Calibri"/>
          <w:b/>
          <w:bCs/>
        </w:rPr>
        <w:t xml:space="preserve"> Community</w:t>
      </w:r>
      <w:r>
        <w:rPr>
          <w:rFonts w:ascii="Calibri" w:hAnsi="Calibri" w:cs="Calibri"/>
        </w:rPr>
        <w:t xml:space="preserve">, le due manifestazioni del turismo e dell’ospitalità firmate </w:t>
      </w:r>
      <w:r>
        <w:rPr>
          <w:rFonts w:ascii="Calibri" w:hAnsi="Calibri" w:cs="Calibri"/>
          <w:b/>
          <w:bCs/>
        </w:rPr>
        <w:t>Italian Exhibition Group. Presenti</w:t>
      </w:r>
      <w:r>
        <w:rPr>
          <w:rFonts w:ascii="Calibri" w:hAnsi="Calibri" w:cs="Calibri"/>
          <w:lang w:eastAsia="it-IT"/>
          <w14:ligatures w14:val="none"/>
        </w:rPr>
        <w:t xml:space="preserve"> </w:t>
      </w:r>
      <w:r>
        <w:rPr>
          <w:rFonts w:ascii="Calibri" w:hAnsi="Calibri" w:cs="Calibri"/>
          <w:b/>
          <w:bCs/>
          <w:lang w:eastAsia="it-IT"/>
          <w14:ligatures w14:val="none"/>
        </w:rPr>
        <w:t xml:space="preserve">2.700 </w:t>
      </w:r>
      <w:proofErr w:type="gramStart"/>
      <w:r>
        <w:rPr>
          <w:rFonts w:ascii="Calibri" w:hAnsi="Calibri" w:cs="Calibri"/>
          <w:b/>
          <w:bCs/>
          <w:lang w:eastAsia="it-IT"/>
          <w14:ligatures w14:val="none"/>
        </w:rPr>
        <w:t>brand</w:t>
      </w:r>
      <w:proofErr w:type="gramEnd"/>
      <w:r>
        <w:rPr>
          <w:rFonts w:ascii="Calibri" w:hAnsi="Calibri" w:cs="Calibri"/>
          <w:b/>
          <w:bCs/>
          <w:lang w:eastAsia="it-IT"/>
          <w14:ligatures w14:val="none"/>
        </w:rPr>
        <w:t xml:space="preserve"> espositori</w:t>
      </w:r>
      <w:r>
        <w:rPr>
          <w:rFonts w:ascii="Calibri" w:hAnsi="Calibri" w:cs="Calibri"/>
          <w:lang w:eastAsia="it-IT"/>
          <w14:ligatures w14:val="none"/>
        </w:rPr>
        <w:t xml:space="preserve"> disposti su </w:t>
      </w:r>
      <w:r>
        <w:rPr>
          <w:rFonts w:ascii="Calibri" w:hAnsi="Calibri" w:cs="Calibri"/>
          <w:b/>
          <w:bCs/>
          <w:lang w:eastAsia="it-IT"/>
          <w14:ligatures w14:val="none"/>
        </w:rPr>
        <w:t>26 padiglioni</w:t>
      </w:r>
      <w:r>
        <w:rPr>
          <w:rFonts w:ascii="Calibri" w:hAnsi="Calibri" w:cs="Calibri"/>
          <w:lang w:eastAsia="it-IT"/>
          <w14:ligatures w14:val="none"/>
        </w:rPr>
        <w:t xml:space="preserve"> e </w:t>
      </w:r>
      <w:r>
        <w:rPr>
          <w:rFonts w:ascii="Calibri" w:hAnsi="Calibri" w:cs="Calibri"/>
          <w:b/>
          <w:bCs/>
          <w:lang w:eastAsia="it-IT"/>
          <w14:ligatures w14:val="none"/>
        </w:rPr>
        <w:t xml:space="preserve">1.000 buyer provenienti da 75 Paesi per tre giorni </w:t>
      </w:r>
      <w:r>
        <w:rPr>
          <w:rStyle w:val="Enfasigrassetto"/>
          <w:rFonts w:ascii="Calibri" w:hAnsi="Calibri" w:cs="Calibri"/>
        </w:rPr>
        <w:t>di incontri, business e visioni sul turismo globale</w:t>
      </w:r>
      <w:r>
        <w:rPr>
          <w:rFonts w:ascii="Calibri" w:hAnsi="Calibri" w:cs="Calibri"/>
          <w:lang w:eastAsia="it-IT"/>
          <w14:ligatures w14:val="none"/>
        </w:rPr>
        <w:t>.</w:t>
      </w:r>
    </w:p>
    <w:p w14:paraId="235EB0F8" w14:textId="77777777" w:rsidR="00161B33" w:rsidRDefault="00161B33" w:rsidP="00161B33">
      <w:pPr>
        <w:jc w:val="both"/>
        <w:rPr>
          <w:rFonts w:ascii="Calibri" w:hAnsi="Calibri" w:cs="Calibri"/>
          <w:sz w:val="24"/>
          <w:szCs w:val="24"/>
        </w:rPr>
      </w:pPr>
      <w:r>
        <w:rPr>
          <w:rFonts w:ascii="Calibri" w:hAnsi="Calibri" w:cs="Calibri"/>
        </w:rPr>
        <w:t xml:space="preserve">Alla cerimonia inaugurale sono intervenuti </w:t>
      </w:r>
      <w:r>
        <w:rPr>
          <w:rFonts w:ascii="Calibri" w:hAnsi="Calibri" w:cs="Calibri"/>
          <w:b/>
          <w:bCs/>
        </w:rPr>
        <w:t xml:space="preserve">don Massimo </w:t>
      </w:r>
      <w:proofErr w:type="spellStart"/>
      <w:r>
        <w:rPr>
          <w:rFonts w:ascii="Calibri" w:hAnsi="Calibri" w:cs="Calibri"/>
          <w:b/>
          <w:bCs/>
        </w:rPr>
        <w:t>Vacchetti</w:t>
      </w:r>
      <w:proofErr w:type="spellEnd"/>
      <w:r>
        <w:rPr>
          <w:rFonts w:ascii="Calibri" w:hAnsi="Calibri" w:cs="Calibri"/>
        </w:rPr>
        <w:t xml:space="preserve">, direttore per la Pastorale dello Sport, Turismo e Tempo libero della Diocesi di Bologna, </w:t>
      </w:r>
      <w:r>
        <w:rPr>
          <w:rFonts w:ascii="Calibri" w:hAnsi="Calibri" w:cs="Calibri"/>
          <w:b/>
          <w:bCs/>
        </w:rPr>
        <w:t>Maurizio Ermeti</w:t>
      </w:r>
      <w:r>
        <w:rPr>
          <w:rFonts w:ascii="Calibri" w:hAnsi="Calibri" w:cs="Calibri"/>
        </w:rPr>
        <w:t xml:space="preserve">, presidente di Italian Exhibition Group, </w:t>
      </w:r>
      <w:r>
        <w:rPr>
          <w:rFonts w:ascii="Calibri" w:hAnsi="Calibri" w:cs="Calibri"/>
          <w:b/>
          <w:bCs/>
        </w:rPr>
        <w:t>Jamil Sadegholvaad</w:t>
      </w:r>
      <w:r>
        <w:rPr>
          <w:rFonts w:ascii="Calibri" w:hAnsi="Calibri" w:cs="Calibri"/>
        </w:rPr>
        <w:t xml:space="preserve">, sindaco di Rimini, </w:t>
      </w:r>
      <w:r>
        <w:rPr>
          <w:rFonts w:ascii="Calibri" w:hAnsi="Calibri" w:cs="Calibri"/>
          <w:b/>
          <w:bCs/>
        </w:rPr>
        <w:t>Roberta Frisoni</w:t>
      </w:r>
      <w:r>
        <w:rPr>
          <w:rFonts w:ascii="Calibri" w:hAnsi="Calibri" w:cs="Calibri"/>
        </w:rPr>
        <w:t xml:space="preserve">, assessora al Turismo, Commercio e Sport della </w:t>
      </w:r>
      <w:r>
        <w:rPr>
          <w:rFonts w:ascii="Calibri" w:hAnsi="Calibri" w:cs="Calibri"/>
          <w:b/>
          <w:bCs/>
        </w:rPr>
        <w:t>Regione Emilia-Romagna</w:t>
      </w:r>
      <w:r>
        <w:rPr>
          <w:rFonts w:ascii="Calibri" w:hAnsi="Calibri" w:cs="Calibri"/>
        </w:rPr>
        <w:t xml:space="preserve">, e </w:t>
      </w:r>
      <w:r>
        <w:rPr>
          <w:rFonts w:ascii="Calibri" w:hAnsi="Calibri" w:cs="Calibri"/>
          <w:b/>
          <w:bCs/>
        </w:rPr>
        <w:t>Daniela Santanchè</w:t>
      </w:r>
      <w:r>
        <w:rPr>
          <w:rFonts w:ascii="Calibri" w:hAnsi="Calibri" w:cs="Calibri"/>
        </w:rPr>
        <w:t>, ministro per il Turismo.</w:t>
      </w:r>
    </w:p>
    <w:p w14:paraId="608429A4" w14:textId="1638691D" w:rsidR="00161B33" w:rsidRDefault="00161B33" w:rsidP="00161B33">
      <w:pPr>
        <w:jc w:val="both"/>
        <w:rPr>
          <w:rFonts w:ascii="Calibri" w:hAnsi="Calibri" w:cs="Calibri"/>
        </w:rPr>
      </w:pPr>
      <w:r>
        <w:rPr>
          <w:rFonts w:ascii="Calibri" w:hAnsi="Calibri" w:cs="Calibri"/>
          <w:b/>
          <w:bCs/>
        </w:rPr>
        <w:t xml:space="preserve">Don Massimo </w:t>
      </w:r>
      <w:proofErr w:type="spellStart"/>
      <w:r>
        <w:rPr>
          <w:rFonts w:ascii="Calibri" w:hAnsi="Calibri" w:cs="Calibri"/>
          <w:b/>
          <w:bCs/>
        </w:rPr>
        <w:t>Vacchetti</w:t>
      </w:r>
      <w:proofErr w:type="spellEnd"/>
      <w:r>
        <w:rPr>
          <w:rFonts w:ascii="Calibri" w:hAnsi="Calibri" w:cs="Calibri"/>
          <w:b/>
          <w:bCs/>
        </w:rPr>
        <w:t xml:space="preserve">, </w:t>
      </w:r>
      <w:r>
        <w:rPr>
          <w:rFonts w:ascii="Calibri" w:hAnsi="Calibri" w:cs="Calibri"/>
        </w:rPr>
        <w:t xml:space="preserve">nella sua prolusione ha spiegato come </w:t>
      </w:r>
      <w:r w:rsidR="00D17567">
        <w:rPr>
          <w:rFonts w:ascii="Calibri" w:hAnsi="Calibri" w:cs="Calibri"/>
        </w:rPr>
        <w:t>“</w:t>
      </w:r>
      <w:r>
        <w:rPr>
          <w:rFonts w:ascii="Calibri" w:hAnsi="Calibri" w:cs="Calibri"/>
        </w:rPr>
        <w:t>sia necessario svegliarci dal sonno di questa era. Perché la vita è un viaggio meraviglioso e vale la pena viverlo pienamente, anche davanti ai recenti venti di guerra, senza avere paura del futuro. Credo che l’era che si sta chiudendo, buia e dolorosa, stia intravedendo l’aurora. Ci siamo riscoperti fragili, ma è proprio in questi momenti che si riscopre la premura degli uni verso gli altri, perché non c’è cambiamento che tenga di fronte all’amore. C’è bisogno di accendere una luce e seguirla in compagnia: solo chi riscopre l’eterno sarà abbracciare il cambiamento</w:t>
      </w:r>
      <w:r w:rsidR="00D17567">
        <w:rPr>
          <w:rFonts w:ascii="Calibri" w:hAnsi="Calibri" w:cs="Calibri"/>
        </w:rPr>
        <w:t>”</w:t>
      </w:r>
      <w:r>
        <w:rPr>
          <w:rFonts w:ascii="Calibri" w:hAnsi="Calibri" w:cs="Calibri"/>
        </w:rPr>
        <w:t>.</w:t>
      </w:r>
    </w:p>
    <w:p w14:paraId="787969B2" w14:textId="464C82B3" w:rsidR="00161B33" w:rsidRDefault="00161B33" w:rsidP="00161B33">
      <w:pPr>
        <w:jc w:val="both"/>
        <w:rPr>
          <w:rFonts w:ascii="Calibri" w:hAnsi="Calibri" w:cs="Calibri"/>
        </w:rPr>
      </w:pPr>
      <w:r>
        <w:rPr>
          <w:rFonts w:ascii="Calibri" w:hAnsi="Calibri" w:cs="Calibri"/>
        </w:rPr>
        <w:t xml:space="preserve">Salutando i presenti, il presidente di IEG, </w:t>
      </w:r>
      <w:r>
        <w:rPr>
          <w:rFonts w:ascii="Calibri" w:hAnsi="Calibri" w:cs="Calibri"/>
          <w:b/>
          <w:bCs/>
        </w:rPr>
        <w:t>Maurizio Ermeti</w:t>
      </w:r>
      <w:r>
        <w:rPr>
          <w:rFonts w:ascii="Calibri" w:hAnsi="Calibri" w:cs="Calibri"/>
        </w:rPr>
        <w:t>, ha sottolineato tutte le grandi novità che in questi anni interessano il mondo del turismo:</w:t>
      </w:r>
      <w:r w:rsidR="00D17567">
        <w:rPr>
          <w:rFonts w:ascii="Calibri" w:hAnsi="Calibri" w:cs="Calibri"/>
        </w:rPr>
        <w:t xml:space="preserve"> “I</w:t>
      </w:r>
      <w:r>
        <w:rPr>
          <w:rFonts w:ascii="Calibri" w:hAnsi="Calibri" w:cs="Calibri"/>
        </w:rPr>
        <w:t>l titolo che abbiamo scelto per questa edizione di TTG</w:t>
      </w:r>
      <w:r w:rsidR="00D17567">
        <w:rPr>
          <w:rFonts w:ascii="Calibri" w:hAnsi="Calibri" w:cs="Calibri"/>
        </w:rPr>
        <w:t xml:space="preserve"> è AWAKE TO A NEW ERA</w:t>
      </w:r>
      <w:r w:rsidR="007E3077">
        <w:rPr>
          <w:rFonts w:ascii="Calibri" w:hAnsi="Calibri" w:cs="Calibri"/>
        </w:rPr>
        <w:t>,</w:t>
      </w:r>
      <w:r>
        <w:rPr>
          <w:rFonts w:ascii="Calibri" w:hAnsi="Calibri" w:cs="Calibri"/>
        </w:rPr>
        <w:t xml:space="preserve"> un titolo che già di suo è una bella scossa, un invito a risvegliarci dalle abitudini e dalle consuetudini perché i fatti ci stanno insegnando come dal periodo del Covid in poi siano cambiati i turisti e il modo stesso di fare turismo. Oggi a nessuno piace più essere massa.  Nella ricerca del viaggio, tutti vorrebbero un’esperienza motivante, autentica e di coinvolgimento personale. Il turismo sta affrontando un cambio di paradigma a livello macroeconomico, sociale e politico ed è in corso una metamorfosi del turismo. Il nostro compito è quello di dare risposte adeguate. </w:t>
      </w:r>
      <w:r w:rsidR="00D17567">
        <w:rPr>
          <w:rFonts w:ascii="Calibri" w:hAnsi="Calibri" w:cs="Calibri"/>
        </w:rPr>
        <w:t>Ecco, dunque,</w:t>
      </w:r>
      <w:r>
        <w:rPr>
          <w:rFonts w:ascii="Calibri" w:hAnsi="Calibri" w:cs="Calibri"/>
        </w:rPr>
        <w:t xml:space="preserve"> il ruolo e la responsabilità che ci prendiamo con TTG e INOUT: noi non ci limitiamo oggi, e non ci limiteremo in futuro, a fotografare ciò che accade, ma saremo sempre più una piattaforma di idee, una fucina per i progetti, un’occasione continua di confronto e di ispirazione. Qui, a TTG e INOUT, vogliamo costruire insieme ai protagonisti del settore la nuova era del turismo”.</w:t>
      </w:r>
    </w:p>
    <w:p w14:paraId="6C8DA841" w14:textId="77777777" w:rsidR="00161B33" w:rsidRDefault="00161B33" w:rsidP="00161B33">
      <w:pPr>
        <w:jc w:val="both"/>
        <w:rPr>
          <w:rFonts w:ascii="Calibri" w:hAnsi="Calibri" w:cs="Calibri"/>
        </w:rPr>
      </w:pPr>
      <w:r>
        <w:rPr>
          <w:rStyle w:val="Enfasigrassetto"/>
          <w:rFonts w:ascii="Calibri" w:hAnsi="Calibri" w:cs="Calibri"/>
          <w:color w:val="1F1F1F"/>
          <w:shd w:val="clear" w:color="auto" w:fill="FFFFFF"/>
          <w:lang w:eastAsia="it-IT"/>
          <w14:ligatures w14:val="none"/>
        </w:rPr>
        <w:lastRenderedPageBreak/>
        <w:t xml:space="preserve">Il sindaco di Rimini, Jamil Sadegholvaad, ha rimarcato dal canto suo, la necessità di guardare al futuro: </w:t>
      </w:r>
      <w:r>
        <w:rPr>
          <w:rFonts w:ascii="Calibri" w:hAnsi="Calibri" w:cs="Calibri"/>
          <w:color w:val="000000"/>
        </w:rPr>
        <w:t xml:space="preserve">“Credo che l’appuntamento con TTG Travel Experience e </w:t>
      </w:r>
      <w:proofErr w:type="spellStart"/>
      <w:r>
        <w:rPr>
          <w:rFonts w:ascii="Calibri" w:hAnsi="Calibri" w:cs="Calibri"/>
          <w:color w:val="000000"/>
        </w:rPr>
        <w:t>InOut</w:t>
      </w:r>
      <w:proofErr w:type="spellEnd"/>
      <w:r>
        <w:rPr>
          <w:rFonts w:ascii="Calibri" w:hAnsi="Calibri" w:cs="Calibri"/>
          <w:color w:val="000000"/>
        </w:rPr>
        <w:t xml:space="preserve"> sia quest’anno più che mai necessario. Il motivo è ben espresso dal titolo di questa edizione: stiamo vivendo un periodo di profondi cambiamenti, spesso rapidissimi e il settore dei viaggi e delle vacanze non solo non fa eccezione, ma ne è una delle testimonianze più concrete. Anche la stagione estiva appena conclusa ha messo in luce l’evoluzione dei tempi e delle abitudini dei visitatori, un cambiamento a cui il comparto nel suo insieme non può semplicemente adattarsi, ma che deve imparare ad anticipare con coraggio. Guardare davvero a una ‘nuova era’ del turismo significa oggi confrontarsi con temi cruciali: dalle opportunità e dai limiti dell’intelligenza artificiale, alle sfide poste dai cambiamenti climatici, fino alle nuove dinamiche della promozione e della comunicazione, come già accade in ogni altro settore industriale.  In questo senso, appuntamenti come TTG Travel Experience e </w:t>
      </w:r>
      <w:proofErr w:type="spellStart"/>
      <w:r>
        <w:rPr>
          <w:rFonts w:ascii="Calibri" w:hAnsi="Calibri" w:cs="Calibri"/>
          <w:color w:val="000000"/>
        </w:rPr>
        <w:t>InOut</w:t>
      </w:r>
      <w:proofErr w:type="spellEnd"/>
      <w:r>
        <w:rPr>
          <w:rFonts w:ascii="Calibri" w:hAnsi="Calibri" w:cs="Calibri"/>
          <w:color w:val="000000"/>
        </w:rPr>
        <w:t xml:space="preserve"> rappresentano un momento prezioso di incontro e confronto ed è significativo che sia proprio la città di Rimini a farsi piattaforma di partenza per questo necessario cambio di strategia”.</w:t>
      </w:r>
    </w:p>
    <w:p w14:paraId="76DE015D" w14:textId="77777777" w:rsidR="00161B33" w:rsidRDefault="00161B33" w:rsidP="00161B33">
      <w:pPr>
        <w:jc w:val="both"/>
        <w:rPr>
          <w:rFonts w:ascii="Calibri" w:hAnsi="Calibri" w:cs="Calibri"/>
        </w:rPr>
      </w:pPr>
      <w:r>
        <w:rPr>
          <w:rFonts w:ascii="Calibri" w:hAnsi="Calibri" w:cs="Calibri"/>
          <w:b/>
          <w:bCs/>
        </w:rPr>
        <w:t>Roberta Frisoni, assessore al Turismo della Regione Emilia-Romagna</w:t>
      </w:r>
      <w:r>
        <w:rPr>
          <w:rFonts w:ascii="Calibri" w:hAnsi="Calibri" w:cs="Calibri"/>
        </w:rPr>
        <w:t xml:space="preserve">: “La nostra Regione è in prima linea nel proporre offerte culturali, sportive ed enogastronomiche d’eccellenza, tra città d’arte, borghi storici e castelli, la Riviera, l’Appennino, il golf, il wellness, la Motor e la Food Valley, a cui si aggiungono itinerari di cicloturismo ed esperienze di vacanza attiva e sostenibile capaci di attrarre anche il pubblico internazionale, in costante crescita. Il TTG Travel Experience rappresenta per l’Emilia-Romagna rappresenta anche un motivo di attenzione all’interno del comparto MICE (Meeting, Incentive, Congressi ed Eventi). Questa edizione presenta tra le novità un focus e attenzione sullo sport e sul Wellness, un settore su cui la regione investe da anni insieme alle destinazioni e agli operatori del settore, consapevoli delle opportunità in chiave turistica che gli eventi e la pratica sportiva possono dare durante tutto l’anno in modo diffuso nei territori”. </w:t>
      </w:r>
    </w:p>
    <w:p w14:paraId="6A201EA8" w14:textId="77777777" w:rsidR="00161B33" w:rsidRDefault="00161B33" w:rsidP="00161B33">
      <w:pPr>
        <w:jc w:val="both"/>
        <w:rPr>
          <w:rFonts w:ascii="Calibri" w:hAnsi="Calibri" w:cs="Calibri"/>
        </w:rPr>
      </w:pPr>
      <w:r>
        <w:rPr>
          <w:rFonts w:ascii="Calibri" w:hAnsi="Calibri" w:cs="Calibri"/>
          <w:b/>
          <w:bCs/>
        </w:rPr>
        <w:t>Daniela Santanché, Ministro per il Turismo</w:t>
      </w:r>
      <w:r>
        <w:rPr>
          <w:rFonts w:ascii="Calibri" w:hAnsi="Calibri" w:cs="Calibri"/>
        </w:rPr>
        <w:t>: “L’edizione di quest’anno del TTG di Rimini segue il primo WTTC Global Summit in Italia, che ha ribadito il ruolo strategico del comparto come leva economica e sociale. Gli investimenti annunciati a conclusione del vertice, pari a 8 miliardi di euro, sosterranno crescita, occupazione, innovazione e sviluppo infrastrutturale per un settore che contribuisce al 13% del PIL e dei posti di lavoro. In più, prevediamo che, nei prossimi dieci anni, questo contributo crescerà ancora, toccando quota 3,7 milioni di occupati, oltre 280 miliardi di PIL e più di 220 miliardi di spesa turistica. Intanto, quest’anno l’Italia ha continuato a registrare risultati record su tasso di saturazione e presenze, confermandosi leader europeo e rafforzando la destagionalizzazione. Il Governo continuerà a sostenere il settore”.</w:t>
      </w:r>
    </w:p>
    <w:p w14:paraId="0C30EB4B" w14:textId="77777777" w:rsidR="00161B33" w:rsidRDefault="00161B33" w:rsidP="00161B33">
      <w:pPr>
        <w:jc w:val="both"/>
        <w:rPr>
          <w:rFonts w:ascii="Calibri" w:hAnsi="Calibri" w:cs="Calibri"/>
        </w:rPr>
      </w:pPr>
      <w:r>
        <w:rPr>
          <w:rFonts w:ascii="Calibri" w:hAnsi="Calibri" w:cs="Calibri"/>
        </w:rPr>
        <w:t xml:space="preserve">Al taglio del nastro anche </w:t>
      </w:r>
      <w:r>
        <w:rPr>
          <w:rFonts w:ascii="Calibri" w:hAnsi="Calibri" w:cs="Calibri"/>
          <w:b/>
          <w:bCs/>
          <w:color w:val="000000"/>
        </w:rPr>
        <w:t xml:space="preserve">Gianmarco Centinaio, Vicepresidente del Senato della Repubblica: </w:t>
      </w:r>
      <w:r>
        <w:rPr>
          <w:rFonts w:ascii="Calibri" w:hAnsi="Calibri" w:cs="Calibri"/>
          <w:color w:val="000000"/>
        </w:rPr>
        <w:t>“Il turismo è al centro di tanti cambiamenti e TTG Travel Experience è un punto di osservazione privilegiato per conoscerli e comprenderli. Gli operatori del turismo organizzato possono trovare qui risposte sul futuro della loro professione, sui servizi da implementare, sui mercati internazionali che si possono aprire o rafforzare nei prossimi anni, sia per l’incoming che per l’</w:t>
      </w:r>
      <w:proofErr w:type="spellStart"/>
      <w:r>
        <w:rPr>
          <w:rFonts w:ascii="Calibri" w:hAnsi="Calibri" w:cs="Calibri"/>
          <w:color w:val="000000"/>
        </w:rPr>
        <w:t>outgoing</w:t>
      </w:r>
      <w:proofErr w:type="spellEnd"/>
      <w:r>
        <w:rPr>
          <w:rFonts w:ascii="Calibri" w:hAnsi="Calibri" w:cs="Calibri"/>
          <w:color w:val="000000"/>
        </w:rPr>
        <w:t>. E tutti quanti possiamo comprendere meglio come promuovere e valorizzare l’enorme e molteplice patrimonio che l’Italia può offrire ai potenziali visitatori. Si tratta quindi di una grande opportunità per chi vuole capire meglio e investire in uno dei settori più importanti e rappresentativi dell’economia italiana”.</w:t>
      </w:r>
    </w:p>
    <w:p w14:paraId="4BBF5AA9" w14:textId="12182E8E" w:rsidR="00161B33" w:rsidRDefault="00161B33" w:rsidP="00161B33">
      <w:pPr>
        <w:spacing w:before="100" w:beforeAutospacing="1" w:after="100" w:afterAutospacing="1"/>
        <w:jc w:val="both"/>
        <w:rPr>
          <w:rFonts w:ascii="Calibri" w:hAnsi="Calibri" w:cs="Calibri"/>
          <w:lang w:eastAsia="it-IT"/>
          <w14:ligatures w14:val="none"/>
        </w:rPr>
      </w:pPr>
      <w:r>
        <w:rPr>
          <w:rFonts w:ascii="Calibri" w:hAnsi="Calibri" w:cs="Calibri"/>
          <w:b/>
          <w:bCs/>
          <w:lang w:eastAsia="it-IT"/>
          <w14:ligatures w14:val="none"/>
        </w:rPr>
        <w:t>IL LUXURY EVENT</w:t>
      </w:r>
      <w:r w:rsidR="00933080">
        <w:rPr>
          <w:rFonts w:ascii="Calibri" w:hAnsi="Calibri" w:cs="Calibri"/>
          <w:b/>
          <w:bCs/>
          <w:lang w:eastAsia="it-IT"/>
          <w14:ligatures w14:val="none"/>
        </w:rPr>
        <w:t xml:space="preserve"> E UN</w:t>
      </w:r>
      <w:r>
        <w:rPr>
          <w:rFonts w:ascii="Calibri" w:hAnsi="Calibri" w:cs="Calibri"/>
          <w:b/>
          <w:bCs/>
          <w:lang w:eastAsia="it-IT"/>
          <w14:ligatures w14:val="none"/>
        </w:rPr>
        <w:t>’ANTEPRIMA ESCLUSIVA</w:t>
      </w:r>
    </w:p>
    <w:p w14:paraId="182D4806" w14:textId="77777777" w:rsidR="005364FC" w:rsidRDefault="00161B33" w:rsidP="00161B33">
      <w:pPr>
        <w:spacing w:before="100" w:beforeAutospacing="1" w:after="100" w:afterAutospacing="1"/>
        <w:jc w:val="both"/>
        <w:rPr>
          <w:rFonts w:ascii="Calibri" w:hAnsi="Calibri" w:cs="Calibri"/>
          <w:lang w:eastAsia="it-IT"/>
          <w14:ligatures w14:val="none"/>
        </w:rPr>
      </w:pPr>
      <w:r>
        <w:rPr>
          <w:rFonts w:ascii="Calibri" w:hAnsi="Calibri" w:cs="Calibri"/>
          <w:lang w:eastAsia="it-IT"/>
          <w14:ligatures w14:val="none"/>
        </w:rPr>
        <w:t xml:space="preserve">Ieri, per il terzo anno consecutivo, nella cornice del </w:t>
      </w:r>
      <w:r>
        <w:rPr>
          <w:rFonts w:ascii="Calibri" w:hAnsi="Calibri" w:cs="Calibri"/>
          <w:b/>
          <w:bCs/>
          <w:lang w:eastAsia="it-IT"/>
          <w14:ligatures w14:val="none"/>
        </w:rPr>
        <w:t>Grand Hotel Rimini</w:t>
      </w:r>
      <w:r>
        <w:rPr>
          <w:rFonts w:ascii="Calibri" w:hAnsi="Calibri" w:cs="Calibri"/>
          <w:lang w:eastAsia="it-IT"/>
          <w14:ligatures w14:val="none"/>
        </w:rPr>
        <w:t xml:space="preserve"> si è tenuto il </w:t>
      </w:r>
      <w:proofErr w:type="spellStart"/>
      <w:r>
        <w:rPr>
          <w:rFonts w:ascii="Calibri" w:hAnsi="Calibri" w:cs="Calibri"/>
          <w:b/>
          <w:bCs/>
          <w:lang w:eastAsia="it-IT"/>
          <w14:ligatures w14:val="none"/>
        </w:rPr>
        <w:t>Luxury</w:t>
      </w:r>
      <w:proofErr w:type="spellEnd"/>
      <w:r>
        <w:rPr>
          <w:rFonts w:ascii="Calibri" w:hAnsi="Calibri" w:cs="Calibri"/>
          <w:b/>
          <w:bCs/>
          <w:lang w:eastAsia="it-IT"/>
          <w14:ligatures w14:val="none"/>
        </w:rPr>
        <w:t xml:space="preserve"> Event by TTG</w:t>
      </w:r>
      <w:r>
        <w:rPr>
          <w:rFonts w:ascii="Calibri" w:hAnsi="Calibri" w:cs="Calibri"/>
          <w:lang w:eastAsia="it-IT"/>
          <w14:ligatures w14:val="none"/>
        </w:rPr>
        <w:t xml:space="preserve">. L’evento B2B, che quest’anno riuniva </w:t>
      </w:r>
      <w:r>
        <w:rPr>
          <w:rFonts w:ascii="Calibri" w:hAnsi="Calibri" w:cs="Calibri"/>
          <w:b/>
          <w:bCs/>
          <w:lang w:eastAsia="it-IT"/>
          <w14:ligatures w14:val="none"/>
        </w:rPr>
        <w:t>80 espositori</w:t>
      </w:r>
      <w:r>
        <w:rPr>
          <w:rFonts w:ascii="Calibri" w:hAnsi="Calibri" w:cs="Calibri"/>
          <w:lang w:eastAsia="it-IT"/>
          <w14:ligatures w14:val="none"/>
        </w:rPr>
        <w:t xml:space="preserve"> e </w:t>
      </w:r>
      <w:r>
        <w:rPr>
          <w:rFonts w:ascii="Calibri" w:hAnsi="Calibri" w:cs="Calibri"/>
          <w:b/>
          <w:bCs/>
          <w:lang w:eastAsia="it-IT"/>
          <w14:ligatures w14:val="none"/>
        </w:rPr>
        <w:t>85 top buyer internazionali</w:t>
      </w:r>
      <w:r>
        <w:rPr>
          <w:rFonts w:ascii="Calibri" w:hAnsi="Calibri" w:cs="Calibri"/>
          <w:lang w:eastAsia="it-IT"/>
          <w14:ligatures w14:val="none"/>
        </w:rPr>
        <w:t xml:space="preserve">, è stato il contenitore di una giornata di incontri su misura e di alto profilo. Oggi il viaggiatore di fascia alta cerca esperienze autentiche, rese fluide dalla tecnologia, e </w:t>
      </w:r>
      <w:proofErr w:type="spellStart"/>
      <w:r>
        <w:rPr>
          <w:rFonts w:ascii="Calibri" w:hAnsi="Calibri" w:cs="Calibri"/>
          <w:lang w:eastAsia="it-IT"/>
          <w14:ligatures w14:val="none"/>
        </w:rPr>
        <w:t>Luxury</w:t>
      </w:r>
      <w:proofErr w:type="spellEnd"/>
      <w:r>
        <w:rPr>
          <w:rFonts w:ascii="Calibri" w:hAnsi="Calibri" w:cs="Calibri"/>
          <w:lang w:eastAsia="it-IT"/>
          <w14:ligatures w14:val="none"/>
        </w:rPr>
        <w:t xml:space="preserve"> Event by TTG è diventato il luogo privilegiato dove tracciare le strategie per rispondere a queste nuove aspettative. </w:t>
      </w:r>
    </w:p>
    <w:p w14:paraId="0705EB00" w14:textId="52621786" w:rsidR="00161B33" w:rsidRDefault="00161B33" w:rsidP="00161B33">
      <w:pPr>
        <w:spacing w:before="100" w:beforeAutospacing="1" w:after="100" w:afterAutospacing="1"/>
        <w:jc w:val="both"/>
        <w:rPr>
          <w:rFonts w:ascii="Calibri" w:hAnsi="Calibri" w:cs="Calibri"/>
          <w:lang w:eastAsia="it-IT"/>
          <w14:ligatures w14:val="none"/>
        </w:rPr>
      </w:pPr>
      <w:r>
        <w:rPr>
          <w:rFonts w:ascii="Calibri" w:hAnsi="Calibri" w:cs="Calibri"/>
          <w:lang w:eastAsia="it-IT"/>
          <w14:ligatures w14:val="none"/>
        </w:rPr>
        <w:lastRenderedPageBreak/>
        <w:t xml:space="preserve">Aspettative crescenti, che il prossimo anno verranno soddisfatte dalla nascita di un nuovo appuntamento dedicato proprio al mondo del </w:t>
      </w:r>
      <w:proofErr w:type="spellStart"/>
      <w:r>
        <w:rPr>
          <w:rFonts w:ascii="Calibri" w:hAnsi="Calibri" w:cs="Calibri"/>
          <w:lang w:eastAsia="it-IT"/>
          <w14:ligatures w14:val="none"/>
        </w:rPr>
        <w:t>luxury</w:t>
      </w:r>
      <w:proofErr w:type="spellEnd"/>
      <w:r>
        <w:rPr>
          <w:rFonts w:ascii="Calibri" w:hAnsi="Calibri" w:cs="Calibri"/>
          <w:lang w:eastAsia="it-IT"/>
          <w14:ligatures w14:val="none"/>
        </w:rPr>
        <w:t xml:space="preserve"> travel e presentato in anteprima all’opening </w:t>
      </w:r>
      <w:proofErr w:type="spellStart"/>
      <w:r>
        <w:rPr>
          <w:rFonts w:ascii="Calibri" w:hAnsi="Calibri" w:cs="Calibri"/>
          <w:lang w:eastAsia="it-IT"/>
          <w14:ligatures w14:val="none"/>
        </w:rPr>
        <w:t>ceremony</w:t>
      </w:r>
      <w:proofErr w:type="spellEnd"/>
      <w:r>
        <w:rPr>
          <w:rFonts w:ascii="Calibri" w:hAnsi="Calibri" w:cs="Calibri"/>
          <w:lang w:eastAsia="it-IT"/>
          <w14:ligatures w14:val="none"/>
        </w:rPr>
        <w:t xml:space="preserve"> di TTG: </w:t>
      </w:r>
      <w:r>
        <w:rPr>
          <w:rFonts w:ascii="Calibri" w:hAnsi="Calibri" w:cs="Calibri"/>
          <w:b/>
          <w:bCs/>
          <w:lang w:eastAsia="it-IT"/>
          <w14:ligatures w14:val="none"/>
        </w:rPr>
        <w:t>Aura, a Firenze dal 27 al 29 ottobre 2026</w:t>
      </w:r>
      <w:r>
        <w:rPr>
          <w:rFonts w:ascii="Calibri" w:hAnsi="Calibri" w:cs="Calibri"/>
          <w:lang w:eastAsia="it-IT"/>
          <w14:ligatures w14:val="none"/>
        </w:rPr>
        <w:t xml:space="preserve">. Un evento esclusivo che riunirà i più qualificati buyer internazionali per incontri </w:t>
      </w:r>
      <w:proofErr w:type="spellStart"/>
      <w:r>
        <w:rPr>
          <w:rFonts w:ascii="Calibri" w:hAnsi="Calibri" w:cs="Calibri"/>
          <w:lang w:eastAsia="it-IT"/>
          <w14:ligatures w14:val="none"/>
        </w:rPr>
        <w:t>one-to-one</w:t>
      </w:r>
      <w:proofErr w:type="spellEnd"/>
      <w:r>
        <w:rPr>
          <w:rFonts w:ascii="Calibri" w:hAnsi="Calibri" w:cs="Calibri"/>
          <w:lang w:eastAsia="it-IT"/>
          <w14:ligatures w14:val="none"/>
        </w:rPr>
        <w:t xml:space="preserve"> con gli operatori d’alta gamma. Tre giorni tra workshop b2b, conferenze, esperienze uniche e networking di alto livello.</w:t>
      </w:r>
    </w:p>
    <w:p w14:paraId="09151E2B" w14:textId="77777777" w:rsidR="00161B33" w:rsidRDefault="00161B33" w:rsidP="00161B33">
      <w:pPr>
        <w:spacing w:before="100" w:beforeAutospacing="1" w:after="100" w:afterAutospacing="1"/>
        <w:jc w:val="both"/>
        <w:rPr>
          <w:rFonts w:ascii="Calibri" w:hAnsi="Calibri" w:cs="Calibri"/>
          <w:lang w:eastAsia="it-IT"/>
          <w14:ligatures w14:val="none"/>
        </w:rPr>
      </w:pPr>
    </w:p>
    <w:p w14:paraId="0A330FD2" w14:textId="77777777" w:rsidR="00161B33" w:rsidRDefault="00161B33" w:rsidP="00161B33">
      <w:pPr>
        <w:jc w:val="both"/>
        <w:rPr>
          <w:rFonts w:ascii="Aptos" w:hAnsi="Aptos" w:cs="Aptos"/>
          <w:b/>
          <w:bCs/>
          <w:sz w:val="18"/>
          <w:szCs w:val="18"/>
          <w:lang w:val="en-US"/>
        </w:rPr>
      </w:pPr>
      <w:r>
        <w:rPr>
          <w:b/>
          <w:bCs/>
          <w:sz w:val="18"/>
          <w:szCs w:val="18"/>
          <w:lang w:val="en-US"/>
        </w:rPr>
        <w:t>ABOUT TTG TRAVEL EXPERIENCE – INOUT | The Hospitality Community</w:t>
      </w:r>
    </w:p>
    <w:p w14:paraId="63F2A79B" w14:textId="77777777" w:rsidR="00161B33" w:rsidRDefault="00161B33" w:rsidP="00161B33">
      <w:pPr>
        <w:jc w:val="both"/>
        <w:rPr>
          <w:sz w:val="18"/>
          <w:szCs w:val="18"/>
        </w:rPr>
      </w:pPr>
      <w:r>
        <w:rPr>
          <w:b/>
          <w:bCs/>
          <w:sz w:val="18"/>
          <w:szCs w:val="18"/>
        </w:rPr>
        <w:t>Evento</w:t>
      </w:r>
      <w:r>
        <w:rPr>
          <w:sz w:val="18"/>
          <w:szCs w:val="18"/>
        </w:rPr>
        <w:t xml:space="preserve">: fiera internazionale; </w:t>
      </w:r>
      <w:r>
        <w:rPr>
          <w:b/>
          <w:bCs/>
          <w:sz w:val="18"/>
          <w:szCs w:val="18"/>
        </w:rPr>
        <w:t>organizzatore</w:t>
      </w:r>
      <w:r>
        <w:rPr>
          <w:sz w:val="18"/>
          <w:szCs w:val="18"/>
        </w:rPr>
        <w:t xml:space="preserve">: Italian Exhibition Group SpA; </w:t>
      </w:r>
      <w:r>
        <w:rPr>
          <w:b/>
          <w:bCs/>
          <w:sz w:val="18"/>
          <w:szCs w:val="18"/>
        </w:rPr>
        <w:t>frequenza</w:t>
      </w:r>
      <w:r>
        <w:rPr>
          <w:sz w:val="18"/>
          <w:szCs w:val="18"/>
        </w:rPr>
        <w:t xml:space="preserve">: annuale; </w:t>
      </w:r>
      <w:r>
        <w:rPr>
          <w:b/>
          <w:bCs/>
          <w:sz w:val="18"/>
          <w:szCs w:val="18"/>
        </w:rPr>
        <w:t>edizione</w:t>
      </w:r>
      <w:r>
        <w:rPr>
          <w:sz w:val="18"/>
          <w:szCs w:val="18"/>
        </w:rPr>
        <w:t xml:space="preserve">: 62ª; </w:t>
      </w:r>
      <w:r>
        <w:rPr>
          <w:b/>
          <w:bCs/>
          <w:sz w:val="18"/>
          <w:szCs w:val="18"/>
        </w:rPr>
        <w:t>accesso</w:t>
      </w:r>
      <w:r>
        <w:rPr>
          <w:sz w:val="18"/>
          <w:szCs w:val="18"/>
        </w:rPr>
        <w:t xml:space="preserve">: riservato esclusivamente agli operatori professionali; </w:t>
      </w:r>
      <w:r>
        <w:rPr>
          <w:b/>
          <w:bCs/>
          <w:sz w:val="18"/>
          <w:szCs w:val="18"/>
        </w:rPr>
        <w:t>website</w:t>
      </w:r>
      <w:r>
        <w:rPr>
          <w:sz w:val="18"/>
          <w:szCs w:val="18"/>
        </w:rPr>
        <w:t>: </w:t>
      </w:r>
      <w:hyperlink r:id="rId8" w:tooltip="´web" w:history="1">
        <w:r>
          <w:rPr>
            <w:rStyle w:val="Collegamentoipertestuale"/>
            <w:sz w:val="18"/>
            <w:szCs w:val="18"/>
          </w:rPr>
          <w:t>www.ttgexpo.it</w:t>
        </w:r>
      </w:hyperlink>
      <w:r>
        <w:rPr>
          <w:sz w:val="18"/>
          <w:szCs w:val="18"/>
        </w:rPr>
        <w:t xml:space="preserve"> - #ttgexpo </w:t>
      </w:r>
    </w:p>
    <w:p w14:paraId="6F14C79D" w14:textId="77777777" w:rsidR="00161B33" w:rsidRDefault="00161B33" w:rsidP="00161B33">
      <w:pPr>
        <w:jc w:val="both"/>
        <w:rPr>
          <w:b/>
          <w:bCs/>
          <w:sz w:val="18"/>
          <w:szCs w:val="18"/>
          <w:lang w:val="en-US"/>
        </w:rPr>
      </w:pPr>
      <w:r>
        <w:rPr>
          <w:b/>
          <w:bCs/>
          <w:sz w:val="18"/>
          <w:szCs w:val="18"/>
          <w:lang w:val="en-US"/>
        </w:rPr>
        <w:t>PRESS CONTACT IEG, TTG TRAVEL EXPERIENCE</w:t>
      </w:r>
    </w:p>
    <w:p w14:paraId="0B3AB7DE" w14:textId="77777777" w:rsidR="00161B33" w:rsidRDefault="00161B33" w:rsidP="00161B33">
      <w:pPr>
        <w:jc w:val="both"/>
        <w:rPr>
          <w:sz w:val="18"/>
          <w:szCs w:val="18"/>
        </w:rPr>
      </w:pPr>
      <w:r>
        <w:rPr>
          <w:sz w:val="18"/>
          <w:szCs w:val="18"/>
        </w:rPr>
        <w:t>Elisabetta Vitali, head of corporate communication &amp; media relation; Marco Forcellini, Pier Francesco Bellini, press office manager</w:t>
      </w:r>
    </w:p>
    <w:p w14:paraId="66AC6D6D" w14:textId="77777777" w:rsidR="00161B33" w:rsidRDefault="00161B33" w:rsidP="00161B33">
      <w:pPr>
        <w:jc w:val="both"/>
        <w:rPr>
          <w:sz w:val="18"/>
          <w:szCs w:val="18"/>
          <w:u w:val="single"/>
          <w:lang w:val="en-US"/>
        </w:rPr>
      </w:pPr>
      <w:hyperlink r:id="rId9" w:history="1">
        <w:r>
          <w:rPr>
            <w:rStyle w:val="Collegamentoipertestuale"/>
            <w:sz w:val="18"/>
            <w:szCs w:val="18"/>
            <w:lang w:val="en-US"/>
          </w:rPr>
          <w:t>media@iegexpo.it</w:t>
        </w:r>
      </w:hyperlink>
    </w:p>
    <w:p w14:paraId="7FEEEE1F" w14:textId="77777777" w:rsidR="00161B33" w:rsidRDefault="00161B33" w:rsidP="00161B33">
      <w:pPr>
        <w:jc w:val="both"/>
        <w:rPr>
          <w:sz w:val="18"/>
          <w:szCs w:val="18"/>
          <w:u w:val="single"/>
          <w:lang w:val="en-US"/>
        </w:rPr>
      </w:pPr>
      <w:r>
        <w:rPr>
          <w:b/>
          <w:bCs/>
          <w:sz w:val="18"/>
          <w:szCs w:val="18"/>
          <w:lang w:val="en-US"/>
        </w:rPr>
        <w:t>MEDIA AGENCY TTG TRAVEL EXPERIENCE</w:t>
      </w:r>
    </w:p>
    <w:p w14:paraId="0C322150" w14:textId="77777777" w:rsidR="00161B33" w:rsidRDefault="00161B33" w:rsidP="00161B33">
      <w:pPr>
        <w:jc w:val="both"/>
        <w:rPr>
          <w:sz w:val="18"/>
          <w:szCs w:val="18"/>
          <w:u w:val="single"/>
        </w:rPr>
      </w:pPr>
      <w:r>
        <w:rPr>
          <w:sz w:val="18"/>
          <w:szCs w:val="18"/>
        </w:rPr>
        <w:t xml:space="preserve">Martina Vacca: </w:t>
      </w:r>
      <w:hyperlink r:id="rId10" w:history="1">
        <w:r>
          <w:rPr>
            <w:rStyle w:val="Collegamentoipertestuale"/>
            <w:sz w:val="18"/>
            <w:szCs w:val="18"/>
          </w:rPr>
          <w:t>martina@mindthepop.it</w:t>
        </w:r>
      </w:hyperlink>
      <w:r>
        <w:rPr>
          <w:sz w:val="18"/>
          <w:szCs w:val="18"/>
        </w:rPr>
        <w:t xml:space="preserve">, mob. +39 339 748 5994; Fabrizio Raimondi: </w:t>
      </w:r>
      <w:hyperlink r:id="rId11" w:history="1">
        <w:r>
          <w:rPr>
            <w:rStyle w:val="Collegamentoipertestuale"/>
            <w:sz w:val="18"/>
            <w:szCs w:val="18"/>
          </w:rPr>
          <w:t>fabrizio@mindthepop.it</w:t>
        </w:r>
      </w:hyperlink>
      <w:r>
        <w:rPr>
          <w:sz w:val="18"/>
          <w:szCs w:val="18"/>
        </w:rPr>
        <w:t xml:space="preserve">, mob. +39 335 389 848; Benedetto Colli: </w:t>
      </w:r>
      <w:hyperlink r:id="rId12" w:history="1">
        <w:r>
          <w:rPr>
            <w:rStyle w:val="Collegamentoipertestuale"/>
            <w:sz w:val="18"/>
            <w:szCs w:val="18"/>
          </w:rPr>
          <w:t>benedetto@mindthepop.it</w:t>
        </w:r>
      </w:hyperlink>
      <w:r>
        <w:rPr>
          <w:sz w:val="18"/>
          <w:szCs w:val="18"/>
        </w:rPr>
        <w:t xml:space="preserve">, mob. 380 371 2272; Stefano Chiossi: </w:t>
      </w:r>
      <w:hyperlink r:id="rId13" w:history="1">
        <w:r>
          <w:rPr>
            <w:rStyle w:val="Collegamentoipertestuale"/>
            <w:sz w:val="18"/>
            <w:szCs w:val="18"/>
          </w:rPr>
          <w:t>stefano@mindthepop.it</w:t>
        </w:r>
      </w:hyperlink>
      <w:r>
        <w:rPr>
          <w:sz w:val="18"/>
          <w:szCs w:val="18"/>
        </w:rPr>
        <w:t>, mob. + 39 388 739 4358.</w:t>
      </w:r>
    </w:p>
    <w:p w14:paraId="7A34ABE3" w14:textId="04FF633C" w:rsidR="00161B33" w:rsidRDefault="00161B33" w:rsidP="00161B33">
      <w:pPr>
        <w:jc w:val="both"/>
      </w:pPr>
      <w:r>
        <w:rPr>
          <w:noProof/>
          <w14:ligatures w14:val="none"/>
        </w:rPr>
        <w:drawing>
          <wp:inline distT="0" distB="0" distL="0" distR="0" wp14:anchorId="32AFC92E" wp14:editId="1B32C013">
            <wp:extent cx="4981575" cy="1562100"/>
            <wp:effectExtent l="0" t="0" r="9525" b="0"/>
            <wp:docPr id="14555493" name="Immagine 1"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design&#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1575" cy="1562100"/>
                    </a:xfrm>
                    <a:prstGeom prst="rect">
                      <a:avLst/>
                    </a:prstGeom>
                    <a:noFill/>
                    <a:ln>
                      <a:noFill/>
                    </a:ln>
                  </pic:spPr>
                </pic:pic>
              </a:graphicData>
            </a:graphic>
          </wp:inline>
        </w:drawing>
      </w:r>
    </w:p>
    <w:p w14:paraId="51B31BA6" w14:textId="77777777" w:rsidR="00161B33" w:rsidRDefault="00161B33" w:rsidP="00161B33">
      <w:pPr>
        <w:jc w:val="both"/>
        <w:rPr>
          <w:sz w:val="16"/>
          <w:szCs w:val="16"/>
        </w:rPr>
      </w:pPr>
      <w:r>
        <w:rPr>
          <w:sz w:val="16"/>
          <w:szCs w:val="16"/>
        </w:rPr>
        <w:t>Il presente comunicato stampa contiene elementi previsionali e stime che riflettono le attuali opinioni del management (“</w:t>
      </w:r>
      <w:proofErr w:type="spellStart"/>
      <w:r>
        <w:rPr>
          <w:sz w:val="16"/>
          <w:szCs w:val="16"/>
        </w:rPr>
        <w:t>forward</w:t>
      </w:r>
      <w:proofErr w:type="spellEnd"/>
      <w:r>
        <w:rPr>
          <w:sz w:val="16"/>
          <w:szCs w:val="16"/>
        </w:rPr>
        <w:t xml:space="preserve">- </w:t>
      </w:r>
      <w:proofErr w:type="spellStart"/>
      <w:r>
        <w:rPr>
          <w:sz w:val="16"/>
          <w:szCs w:val="16"/>
        </w:rPr>
        <w:t>looking</w:t>
      </w:r>
      <w:proofErr w:type="spellEnd"/>
      <w:r>
        <w:rPr>
          <w:sz w:val="16"/>
          <w:szCs w:val="16"/>
        </w:rPr>
        <w:t xml:space="preserve"> </w:t>
      </w:r>
      <w:proofErr w:type="spellStart"/>
      <w:r>
        <w:rPr>
          <w:sz w:val="16"/>
          <w:szCs w:val="16"/>
        </w:rPr>
        <w:t>statements</w:t>
      </w:r>
      <w:proofErr w:type="spellEnd"/>
      <w:r>
        <w:rPr>
          <w:sz w:val="16"/>
          <w:szCs w:val="16"/>
        </w:rPr>
        <w:t xml:space="preserve">”) specie per quanto riguarda performance gestionali future, realizzazione di investimenti, andamento dei flussi di cassa ed evoluzione della struttura finanziaria. I </w:t>
      </w:r>
      <w:proofErr w:type="spellStart"/>
      <w:r>
        <w:rPr>
          <w:sz w:val="16"/>
          <w:szCs w:val="16"/>
        </w:rPr>
        <w:t>forward-looking</w:t>
      </w:r>
      <w:proofErr w:type="spellEnd"/>
      <w:r>
        <w:rPr>
          <w:sz w:val="16"/>
          <w:szCs w:val="16"/>
        </w:rPr>
        <w:t xml:space="preserve"> </w:t>
      </w:r>
      <w:proofErr w:type="spellStart"/>
      <w:r>
        <w:rPr>
          <w:sz w:val="16"/>
          <w:szCs w:val="16"/>
        </w:rPr>
        <w:t>statements</w:t>
      </w:r>
      <w:proofErr w:type="spellEnd"/>
      <w:r>
        <w:rPr>
          <w:sz w:val="16"/>
          <w:szCs w:val="16"/>
        </w:rPr>
        <w:t xml:space="preserve"> hanno per loro natura una componente di rischio </w:t>
      </w:r>
      <w:proofErr w:type="spellStart"/>
      <w:r>
        <w:rPr>
          <w:sz w:val="16"/>
          <w:szCs w:val="16"/>
        </w:rPr>
        <w:t>ed</w:t>
      </w:r>
      <w:proofErr w:type="spellEnd"/>
      <w:r>
        <w:rPr>
          <w:sz w:val="16"/>
          <w:szCs w:val="16"/>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4784DBE1" w14:textId="77777777" w:rsidR="00033F60" w:rsidRDefault="00033F60"/>
    <w:sectPr w:rsidR="00033F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4F5DC2"/>
    <w:multiLevelType w:val="hybridMultilevel"/>
    <w:tmpl w:val="3012817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87594053">
    <w:abstractNumId w:val="0"/>
  </w:num>
  <w:num w:numId="2" w16cid:durableId="161200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C32"/>
    <w:rsid w:val="00033F60"/>
    <w:rsid w:val="000861A8"/>
    <w:rsid w:val="000D0667"/>
    <w:rsid w:val="000E4AE0"/>
    <w:rsid w:val="00120B39"/>
    <w:rsid w:val="00143A6E"/>
    <w:rsid w:val="00160F2D"/>
    <w:rsid w:val="00161B33"/>
    <w:rsid w:val="00337647"/>
    <w:rsid w:val="003414FE"/>
    <w:rsid w:val="00345CF1"/>
    <w:rsid w:val="003B0ADD"/>
    <w:rsid w:val="003C442D"/>
    <w:rsid w:val="003C7D2C"/>
    <w:rsid w:val="003F56D8"/>
    <w:rsid w:val="00491B33"/>
    <w:rsid w:val="004B0661"/>
    <w:rsid w:val="005364FC"/>
    <w:rsid w:val="005676D5"/>
    <w:rsid w:val="005A38AD"/>
    <w:rsid w:val="00612C32"/>
    <w:rsid w:val="006D7982"/>
    <w:rsid w:val="00716BED"/>
    <w:rsid w:val="007C2724"/>
    <w:rsid w:val="007D5EB6"/>
    <w:rsid w:val="007E3077"/>
    <w:rsid w:val="00837C9F"/>
    <w:rsid w:val="00855D15"/>
    <w:rsid w:val="00871215"/>
    <w:rsid w:val="008D3411"/>
    <w:rsid w:val="008F2B00"/>
    <w:rsid w:val="009272FE"/>
    <w:rsid w:val="00933080"/>
    <w:rsid w:val="00952BE7"/>
    <w:rsid w:val="00955143"/>
    <w:rsid w:val="0096737E"/>
    <w:rsid w:val="00A519D1"/>
    <w:rsid w:val="00AD685D"/>
    <w:rsid w:val="00B02108"/>
    <w:rsid w:val="00B13508"/>
    <w:rsid w:val="00B72DE6"/>
    <w:rsid w:val="00D17567"/>
    <w:rsid w:val="00D34D14"/>
    <w:rsid w:val="00D34F12"/>
    <w:rsid w:val="00D37624"/>
    <w:rsid w:val="00D60194"/>
    <w:rsid w:val="00DD54B1"/>
    <w:rsid w:val="00E02E37"/>
    <w:rsid w:val="00E424A8"/>
    <w:rsid w:val="00E6064C"/>
    <w:rsid w:val="00FA28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4581"/>
  <w15:chartTrackingRefBased/>
  <w15:docId w15:val="{C3FB893C-161A-4E6C-A72A-48A31408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12C32"/>
    <w:pPr>
      <w:spacing w:line="259" w:lineRule="auto"/>
    </w:pPr>
    <w:rPr>
      <w:sz w:val="22"/>
      <w:szCs w:val="22"/>
    </w:rPr>
  </w:style>
  <w:style w:type="paragraph" w:styleId="Titolo1">
    <w:name w:val="heading 1"/>
    <w:basedOn w:val="Normale"/>
    <w:next w:val="Normale"/>
    <w:link w:val="Titolo1Carattere"/>
    <w:uiPriority w:val="9"/>
    <w:qFormat/>
    <w:rsid w:val="00612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12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12C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12C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12C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12C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2C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2C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2C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2C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12C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12C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12C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12C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12C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2C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2C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2C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2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2C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2C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2C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2C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2C32"/>
    <w:rPr>
      <w:i/>
      <w:iCs/>
      <w:color w:val="404040" w:themeColor="text1" w:themeTint="BF"/>
    </w:rPr>
  </w:style>
  <w:style w:type="paragraph" w:styleId="Paragrafoelenco">
    <w:name w:val="List Paragraph"/>
    <w:basedOn w:val="Normale"/>
    <w:uiPriority w:val="34"/>
    <w:qFormat/>
    <w:rsid w:val="00612C32"/>
    <w:pPr>
      <w:ind w:left="720"/>
      <w:contextualSpacing/>
    </w:pPr>
  </w:style>
  <w:style w:type="character" w:styleId="Enfasiintensa">
    <w:name w:val="Intense Emphasis"/>
    <w:basedOn w:val="Carpredefinitoparagrafo"/>
    <w:uiPriority w:val="21"/>
    <w:qFormat/>
    <w:rsid w:val="00612C32"/>
    <w:rPr>
      <w:i/>
      <w:iCs/>
      <w:color w:val="0F4761" w:themeColor="accent1" w:themeShade="BF"/>
    </w:rPr>
  </w:style>
  <w:style w:type="paragraph" w:styleId="Citazioneintensa">
    <w:name w:val="Intense Quote"/>
    <w:basedOn w:val="Normale"/>
    <w:next w:val="Normale"/>
    <w:link w:val="CitazioneintensaCarattere"/>
    <w:uiPriority w:val="30"/>
    <w:qFormat/>
    <w:rsid w:val="00612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12C32"/>
    <w:rPr>
      <w:i/>
      <w:iCs/>
      <w:color w:val="0F4761" w:themeColor="accent1" w:themeShade="BF"/>
    </w:rPr>
  </w:style>
  <w:style w:type="character" w:styleId="Riferimentointenso">
    <w:name w:val="Intense Reference"/>
    <w:basedOn w:val="Carpredefinitoparagrafo"/>
    <w:uiPriority w:val="32"/>
    <w:qFormat/>
    <w:rsid w:val="00612C32"/>
    <w:rPr>
      <w:b/>
      <w:bCs/>
      <w:smallCaps/>
      <w:color w:val="0F4761" w:themeColor="accent1" w:themeShade="BF"/>
      <w:spacing w:val="5"/>
    </w:rPr>
  </w:style>
  <w:style w:type="character" w:styleId="Collegamentoipertestuale">
    <w:name w:val="Hyperlink"/>
    <w:basedOn w:val="Carpredefinitoparagrafo"/>
    <w:uiPriority w:val="99"/>
    <w:unhideWhenUsed/>
    <w:rsid w:val="00612C32"/>
    <w:rPr>
      <w:color w:val="467886" w:themeColor="hyperlink"/>
      <w:u w:val="single"/>
    </w:rPr>
  </w:style>
  <w:style w:type="character" w:styleId="Menzionenonrisolta">
    <w:name w:val="Unresolved Mention"/>
    <w:basedOn w:val="Carpredefinitoparagrafo"/>
    <w:uiPriority w:val="99"/>
    <w:semiHidden/>
    <w:unhideWhenUsed/>
    <w:rsid w:val="00612C32"/>
    <w:rPr>
      <w:color w:val="605E5C"/>
      <w:shd w:val="clear" w:color="auto" w:fill="E1DFDD"/>
    </w:rPr>
  </w:style>
  <w:style w:type="character" w:styleId="Enfasigrassetto">
    <w:name w:val="Strong"/>
    <w:basedOn w:val="Carpredefinitoparagrafo"/>
    <w:uiPriority w:val="22"/>
    <w:qFormat/>
    <w:rsid w:val="007D5E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stefano@mindthepop.it" TargetMode="External"/><Relationship Id="rId3" Type="http://schemas.openxmlformats.org/officeDocument/2006/relationships/settings" Target="settings.xml"/><Relationship Id="rId7" Type="http://schemas.openxmlformats.org/officeDocument/2006/relationships/hyperlink" Target="http://www.inout.it" TargetMode="External"/><Relationship Id="rId12" Type="http://schemas.openxmlformats.org/officeDocument/2006/relationships/hyperlink" Target="mailto:benedetto@mindthepop.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tgexpo.it" TargetMode="External"/><Relationship Id="rId11" Type="http://schemas.openxmlformats.org/officeDocument/2006/relationships/hyperlink" Target="mailto:fabrizio@mindthepop.it"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mailto:martina@mindthepop.it" TargetMode="External"/><Relationship Id="rId4" Type="http://schemas.openxmlformats.org/officeDocument/2006/relationships/webSettings" Target="webSettings.xml"/><Relationship Id="rId9" Type="http://schemas.openxmlformats.org/officeDocument/2006/relationships/hyperlink" Target="mailto:media@iegexpo.it" TargetMode="External"/><Relationship Id="rId14"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82</TotalTime>
  <Pages>3</Pages>
  <Words>1575</Words>
  <Characters>8979</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Forcellini</dc:creator>
  <cp:keywords/>
  <dc:description/>
  <cp:lastModifiedBy>Nicoletta Evangelisti</cp:lastModifiedBy>
  <cp:revision>42</cp:revision>
  <dcterms:created xsi:type="dcterms:W3CDTF">2025-10-07T14:51:00Z</dcterms:created>
  <dcterms:modified xsi:type="dcterms:W3CDTF">2025-10-08T13:46:00Z</dcterms:modified>
</cp:coreProperties>
</file>