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B81A" w14:textId="2943BC8D" w:rsidR="005F15D1" w:rsidRDefault="005F15D1" w:rsidP="005F15D1">
      <w:pPr>
        <w:jc w:val="center"/>
        <w:rPr>
          <w:rFonts w:ascii="Calibri" w:hAnsi="Calibri" w:cs="Calibri"/>
          <w:b/>
          <w:sz w:val="30"/>
          <w:szCs w:val="30"/>
          <w:lang w:val="en-GB"/>
        </w:rPr>
      </w:pPr>
      <w:r w:rsidRPr="005F15D1">
        <w:rPr>
          <w:rFonts w:ascii="Calibri" w:hAnsi="Calibri" w:cs="Calibri"/>
          <w:b/>
          <w:sz w:val="30"/>
          <w:szCs w:val="30"/>
          <w:lang w:val="en-GB"/>
        </w:rPr>
        <w:t>TTG Travel Experience e InOut | The Hospitality Community</w:t>
      </w:r>
    </w:p>
    <w:p w14:paraId="3DEAFBA6" w14:textId="62859B9E" w:rsidR="001C1A09" w:rsidRPr="005F15D1" w:rsidRDefault="001C1A09" w:rsidP="005F15D1">
      <w:pPr>
        <w:jc w:val="center"/>
        <w:rPr>
          <w:rFonts w:ascii="Calibri" w:hAnsi="Calibri" w:cs="Calibri"/>
          <w:b/>
          <w:sz w:val="28"/>
          <w:szCs w:val="28"/>
        </w:rPr>
      </w:pPr>
      <w:r w:rsidRPr="009A72F0">
        <w:rPr>
          <w:rFonts w:ascii="Calibri" w:hAnsi="Calibri" w:cs="Calibri"/>
          <w:b/>
          <w:sz w:val="28"/>
          <w:szCs w:val="28"/>
        </w:rPr>
        <w:t>DAILY NEWS</w:t>
      </w:r>
      <w:r w:rsidR="005F15D1" w:rsidRPr="009A72F0">
        <w:rPr>
          <w:rFonts w:ascii="Calibri" w:hAnsi="Calibri" w:cs="Calibri"/>
          <w:b/>
          <w:sz w:val="28"/>
          <w:szCs w:val="28"/>
        </w:rPr>
        <w:t xml:space="preserve"> - </w:t>
      </w:r>
      <w:r w:rsidRPr="005F15D1">
        <w:rPr>
          <w:rFonts w:ascii="Calibri" w:hAnsi="Calibri" w:cs="Calibri"/>
          <w:b/>
          <w:sz w:val="28"/>
          <w:szCs w:val="28"/>
        </w:rPr>
        <w:t>9 OTTOBRE</w:t>
      </w:r>
    </w:p>
    <w:p w14:paraId="6C76A862" w14:textId="77777777" w:rsidR="001C1A09" w:rsidRPr="00AA2024" w:rsidRDefault="001C1A09" w:rsidP="005F15D1">
      <w:pPr>
        <w:spacing w:after="0" w:line="240" w:lineRule="auto"/>
        <w:jc w:val="both"/>
        <w:rPr>
          <w:rFonts w:ascii="Calibri" w:eastAsia="Times New Roman" w:hAnsi="Calibri" w:cs="Calibri"/>
          <w:b/>
          <w:bCs/>
          <w:color w:val="000000"/>
          <w:kern w:val="0"/>
          <w:sz w:val="22"/>
          <w:szCs w:val="22"/>
          <w:lang w:eastAsia="it-IT"/>
          <w14:ligatures w14:val="none"/>
        </w:rPr>
      </w:pPr>
    </w:p>
    <w:p w14:paraId="2F9648D1" w14:textId="72D49F19" w:rsidR="005949AE" w:rsidRPr="00AA2024" w:rsidRDefault="009A72F0" w:rsidP="005F15D1">
      <w:pPr>
        <w:spacing w:after="0" w:line="240" w:lineRule="auto"/>
        <w:contextualSpacing/>
        <w:jc w:val="both"/>
        <w:rPr>
          <w:rFonts w:ascii="Calibri" w:eastAsia="Times New Roman" w:hAnsi="Calibri" w:cs="Calibri"/>
          <w:b/>
          <w:bCs/>
          <w:color w:val="000000"/>
          <w:kern w:val="0"/>
          <w:sz w:val="22"/>
          <w:szCs w:val="22"/>
          <w:lang w:eastAsia="it-IT"/>
          <w14:ligatures w14:val="none"/>
        </w:rPr>
      </w:pPr>
      <w:r>
        <w:rPr>
          <w:rFonts w:ascii="Calibri" w:eastAsia="Times New Roman" w:hAnsi="Calibri" w:cs="Calibri"/>
          <w:b/>
          <w:bCs/>
          <w:color w:val="000000"/>
          <w:kern w:val="0"/>
          <w:sz w:val="22"/>
          <w:szCs w:val="22"/>
          <w:lang w:eastAsia="it-IT"/>
          <w14:ligatures w14:val="none"/>
        </w:rPr>
        <w:t>IL</w:t>
      </w:r>
      <w:r w:rsidR="004F075A">
        <w:rPr>
          <w:rFonts w:ascii="Calibri" w:eastAsia="Times New Roman" w:hAnsi="Calibri" w:cs="Calibri"/>
          <w:b/>
          <w:bCs/>
          <w:color w:val="000000"/>
          <w:kern w:val="0"/>
          <w:sz w:val="22"/>
          <w:szCs w:val="22"/>
          <w:lang w:eastAsia="it-IT"/>
          <w14:ligatures w14:val="none"/>
        </w:rPr>
        <w:t xml:space="preserve"> TURISMO SPING</w:t>
      </w:r>
      <w:r>
        <w:rPr>
          <w:rFonts w:ascii="Calibri" w:eastAsia="Times New Roman" w:hAnsi="Calibri" w:cs="Calibri"/>
          <w:b/>
          <w:bCs/>
          <w:color w:val="000000"/>
          <w:kern w:val="0"/>
          <w:sz w:val="22"/>
          <w:szCs w:val="22"/>
          <w:lang w:eastAsia="it-IT"/>
          <w14:ligatures w14:val="none"/>
        </w:rPr>
        <w:t>E</w:t>
      </w:r>
      <w:r w:rsidR="004F075A">
        <w:rPr>
          <w:rFonts w:ascii="Calibri" w:eastAsia="Times New Roman" w:hAnsi="Calibri" w:cs="Calibri"/>
          <w:b/>
          <w:bCs/>
          <w:color w:val="000000"/>
          <w:kern w:val="0"/>
          <w:sz w:val="22"/>
          <w:szCs w:val="22"/>
          <w:lang w:eastAsia="it-IT"/>
          <w14:ligatures w14:val="none"/>
        </w:rPr>
        <w:t xml:space="preserve"> SUL</w:t>
      </w:r>
      <w:r w:rsidR="003B26C3" w:rsidRPr="00AA2024">
        <w:rPr>
          <w:rFonts w:ascii="Calibri" w:eastAsia="Times New Roman" w:hAnsi="Calibri" w:cs="Calibri"/>
          <w:b/>
          <w:bCs/>
          <w:color w:val="000000"/>
          <w:kern w:val="0"/>
          <w:sz w:val="22"/>
          <w:szCs w:val="22"/>
          <w:lang w:eastAsia="it-IT"/>
          <w14:ligatures w14:val="none"/>
        </w:rPr>
        <w:t>L’E-COMMERCE</w:t>
      </w:r>
      <w:r w:rsidR="00F434F8">
        <w:rPr>
          <w:rFonts w:ascii="Calibri" w:eastAsia="Times New Roman" w:hAnsi="Calibri" w:cs="Calibri"/>
          <w:b/>
          <w:bCs/>
          <w:color w:val="000000"/>
          <w:kern w:val="0"/>
          <w:sz w:val="22"/>
          <w:szCs w:val="22"/>
          <w:lang w:eastAsia="it-IT"/>
          <w14:ligatures w14:val="none"/>
        </w:rPr>
        <w:t>, CHE HA RAGGIUNTO I 41 MILIARDI DI EURO</w:t>
      </w:r>
      <w:r w:rsidR="003B26C3" w:rsidRPr="00AA2024">
        <w:rPr>
          <w:rFonts w:ascii="Calibri" w:eastAsia="Times New Roman" w:hAnsi="Calibri" w:cs="Calibri"/>
          <w:b/>
          <w:bCs/>
          <w:color w:val="000000"/>
          <w:kern w:val="0"/>
          <w:sz w:val="22"/>
          <w:szCs w:val="22"/>
          <w:lang w:eastAsia="it-IT"/>
          <w14:ligatures w14:val="none"/>
        </w:rPr>
        <w:t xml:space="preserve"> </w:t>
      </w:r>
    </w:p>
    <w:p w14:paraId="33AA65DF" w14:textId="64F1513E" w:rsidR="00F434F8" w:rsidRPr="00AA2024" w:rsidRDefault="005949AE" w:rsidP="00F434F8">
      <w:pPr>
        <w:spacing w:after="0" w:line="240" w:lineRule="auto"/>
        <w:contextualSpacing/>
        <w:jc w:val="both"/>
        <w:rPr>
          <w:rFonts w:ascii="Calibri" w:eastAsia="Times New Roman" w:hAnsi="Calibri" w:cs="Calibri"/>
          <w:b/>
          <w:bCs/>
          <w:color w:val="000000"/>
          <w:kern w:val="0"/>
          <w:sz w:val="22"/>
          <w:szCs w:val="22"/>
          <w:lang w:eastAsia="it-IT"/>
          <w14:ligatures w14:val="none"/>
        </w:rPr>
      </w:pPr>
      <w:r w:rsidRPr="00AA2024">
        <w:rPr>
          <w:rFonts w:ascii="Calibri" w:hAnsi="Calibri" w:cs="Calibri"/>
          <w:color w:val="000000"/>
          <w:sz w:val="22"/>
          <w:szCs w:val="22"/>
        </w:rPr>
        <w:t xml:space="preserve">Nel 2025 l’e-commerce del turismo in Italia si consolida su 41 miliardi di euro tra ospitalità e trasporti: lo ha rivelato l’Osservatorio Travel Innovation della School of Management del Politecnico di Milano, presentato a </w:t>
      </w:r>
      <w:bookmarkStart w:id="0" w:name="_Hlk210905661"/>
      <w:r w:rsidRPr="00AA2024">
        <w:rPr>
          <w:rFonts w:ascii="Calibri" w:hAnsi="Calibri" w:cs="Calibri"/>
          <w:color w:val="000000"/>
          <w:sz w:val="22"/>
          <w:szCs w:val="22"/>
        </w:rPr>
        <w:t>TTG Travel Experience e InOut | The Hospitality Community</w:t>
      </w:r>
      <w:bookmarkEnd w:id="0"/>
      <w:r w:rsidRPr="00AA2024">
        <w:rPr>
          <w:rFonts w:ascii="Calibri" w:hAnsi="Calibri" w:cs="Calibri"/>
          <w:color w:val="000000"/>
          <w:sz w:val="22"/>
          <w:szCs w:val="22"/>
        </w:rPr>
        <w:t>, le manifestazioni organizzate da Italian Exhibition Group e in corso fino a domani alla Fiera di Rimini.</w:t>
      </w:r>
      <w:r w:rsidR="00F434F8">
        <w:rPr>
          <w:rFonts w:ascii="Calibri" w:hAnsi="Calibri" w:cs="Calibri"/>
          <w:color w:val="000000"/>
          <w:sz w:val="22"/>
          <w:szCs w:val="22"/>
        </w:rPr>
        <w:t xml:space="preserve"> </w:t>
      </w:r>
      <w:r w:rsidR="00F434F8" w:rsidRPr="00AA2024">
        <w:rPr>
          <w:rFonts w:ascii="Calibri" w:hAnsi="Calibri" w:cs="Calibri"/>
          <w:color w:val="000000"/>
          <w:sz w:val="22"/>
          <w:szCs w:val="22"/>
        </w:rPr>
        <w:t>Gli italiani si confermano viaggiatori assidui, con quattro vacanze l’anno in media, motivate dal desiderio di relax (4,2 su 5 nella scala delle priorità). Cresce l’uso dell’intelligenza artificiale</w:t>
      </w:r>
      <w:r w:rsidR="00F434F8">
        <w:rPr>
          <w:rFonts w:ascii="Calibri" w:hAnsi="Calibri" w:cs="Calibri"/>
          <w:color w:val="000000"/>
          <w:sz w:val="22"/>
          <w:szCs w:val="22"/>
        </w:rPr>
        <w:t xml:space="preserve">, utilizzata da </w:t>
      </w:r>
      <w:r w:rsidR="00F434F8" w:rsidRPr="00AA2024">
        <w:rPr>
          <w:rFonts w:ascii="Calibri" w:hAnsi="Calibri" w:cs="Calibri"/>
          <w:color w:val="000000"/>
          <w:sz w:val="22"/>
          <w:szCs w:val="22"/>
        </w:rPr>
        <w:t xml:space="preserve">un viaggiatore su tre </w:t>
      </w:r>
      <w:r w:rsidR="00F434F8">
        <w:rPr>
          <w:rFonts w:ascii="Calibri" w:hAnsi="Calibri" w:cs="Calibri"/>
          <w:color w:val="000000"/>
          <w:sz w:val="22"/>
          <w:szCs w:val="22"/>
        </w:rPr>
        <w:t>per</w:t>
      </w:r>
      <w:r w:rsidR="00F434F8" w:rsidRPr="00AA2024">
        <w:rPr>
          <w:rFonts w:ascii="Calibri" w:hAnsi="Calibri" w:cs="Calibri"/>
          <w:color w:val="000000"/>
          <w:sz w:val="22"/>
          <w:szCs w:val="22"/>
        </w:rPr>
        <w:t xml:space="preserve"> scoprire attività in loco, </w:t>
      </w:r>
      <w:r w:rsidR="00F434F8">
        <w:rPr>
          <w:rFonts w:ascii="Calibri" w:hAnsi="Calibri" w:cs="Calibri"/>
          <w:color w:val="000000"/>
          <w:sz w:val="22"/>
          <w:szCs w:val="22"/>
        </w:rPr>
        <w:t>m</w:t>
      </w:r>
      <w:r w:rsidR="00F434F8" w:rsidRPr="00AA2024">
        <w:rPr>
          <w:rFonts w:ascii="Calibri" w:hAnsi="Calibri" w:cs="Calibri"/>
          <w:color w:val="000000"/>
          <w:sz w:val="22"/>
          <w:szCs w:val="22"/>
        </w:rPr>
        <w:t>a nonostante la digitalizzazione, resistono i canali tradizionali: il 12% degli italiani continua a prenotare in agenzia per la sicurezza e la gestione completa del pacchetto, mentre quasi la metà (45%) mantiene un rapporto ibrido, con interazioni sia digitali che fisiche.</w:t>
      </w:r>
    </w:p>
    <w:p w14:paraId="5C07C449" w14:textId="2FF887F7" w:rsidR="001966BE" w:rsidRDefault="00F434F8" w:rsidP="005F15D1">
      <w:pPr>
        <w:spacing w:after="0" w:line="240" w:lineRule="auto"/>
        <w:contextualSpacing/>
        <w:jc w:val="both"/>
        <w:rPr>
          <w:rFonts w:ascii="Calibri" w:hAnsi="Calibri" w:cs="Calibri"/>
          <w:color w:val="000000"/>
          <w:sz w:val="22"/>
          <w:szCs w:val="22"/>
        </w:rPr>
      </w:pPr>
      <w:r>
        <w:rPr>
          <w:rFonts w:ascii="Calibri" w:hAnsi="Calibri" w:cs="Calibri"/>
          <w:color w:val="000000"/>
          <w:sz w:val="22"/>
          <w:szCs w:val="22"/>
        </w:rPr>
        <w:t>Più in generale l</w:t>
      </w:r>
      <w:r w:rsidR="005949AE" w:rsidRPr="00AA2024">
        <w:rPr>
          <w:rFonts w:ascii="Calibri" w:hAnsi="Calibri" w:cs="Calibri"/>
          <w:color w:val="000000"/>
          <w:sz w:val="22"/>
          <w:szCs w:val="22"/>
        </w:rPr>
        <w:t>’ospitalità vale 38,2 miliardi di euro, con il 57% delle prenotazioni online e una crescita dell’1% trainata dai prezzi (+2,9%). Nei trasporti, il mercato raggiunge 27,6 miliardi, con una penetrazione e-commerce al 70%, segno di un cambiamento ormai strutturale. Il turismo organizzato registra l’andamento migliore (+5%), spinto da tour operator (+7%) e crociere, fino a 6,5 miliardi di euro, mentre le attività outdoor superano 1,1 miliardi (+3%), con trekking, escursioni e sport all’aria aperta scelti dal 78% dei viaggiatori.</w:t>
      </w:r>
      <w:r w:rsidR="001966BE">
        <w:rPr>
          <w:rFonts w:ascii="Calibri" w:hAnsi="Calibri" w:cs="Calibri"/>
          <w:color w:val="000000"/>
          <w:sz w:val="22"/>
          <w:szCs w:val="22"/>
        </w:rPr>
        <w:t xml:space="preserve"> </w:t>
      </w:r>
    </w:p>
    <w:p w14:paraId="39BD5D08" w14:textId="77777777" w:rsidR="001C1A09" w:rsidRPr="00AA2024" w:rsidRDefault="001C1A09" w:rsidP="005F15D1">
      <w:pPr>
        <w:spacing w:after="0" w:line="240" w:lineRule="auto"/>
        <w:jc w:val="both"/>
        <w:rPr>
          <w:rFonts w:ascii="Calibri" w:eastAsia="Times New Roman" w:hAnsi="Calibri" w:cs="Calibri"/>
          <w:b/>
          <w:bCs/>
          <w:color w:val="000000"/>
          <w:kern w:val="0"/>
          <w:sz w:val="22"/>
          <w:szCs w:val="22"/>
          <w:lang w:eastAsia="it-IT"/>
          <w14:ligatures w14:val="none"/>
        </w:rPr>
      </w:pPr>
    </w:p>
    <w:p w14:paraId="78315AC3" w14:textId="216F80EE" w:rsidR="001C1A09" w:rsidRPr="001C1A09" w:rsidRDefault="005F15D1" w:rsidP="005F15D1">
      <w:pPr>
        <w:spacing w:after="0" w:line="240" w:lineRule="auto"/>
        <w:jc w:val="both"/>
        <w:rPr>
          <w:rFonts w:ascii="Calibri" w:eastAsia="Times New Roman" w:hAnsi="Calibri" w:cs="Calibri"/>
          <w:color w:val="000000"/>
          <w:kern w:val="0"/>
          <w:sz w:val="22"/>
          <w:szCs w:val="22"/>
          <w:lang w:eastAsia="it-IT"/>
          <w14:ligatures w14:val="none"/>
        </w:rPr>
      </w:pPr>
      <w:r>
        <w:rPr>
          <w:rFonts w:ascii="Calibri" w:eastAsia="Times New Roman" w:hAnsi="Calibri" w:cs="Calibri"/>
          <w:b/>
          <w:bCs/>
          <w:color w:val="000000"/>
          <w:kern w:val="0"/>
          <w:sz w:val="22"/>
          <w:szCs w:val="22"/>
          <w:lang w:eastAsia="it-IT"/>
          <w14:ligatures w14:val="none"/>
        </w:rPr>
        <w:t xml:space="preserve">TURISMO CONGRESSUALE: </w:t>
      </w:r>
      <w:r w:rsidR="001C1A09" w:rsidRPr="001C1A09">
        <w:rPr>
          <w:rFonts w:ascii="Calibri" w:eastAsia="Times New Roman" w:hAnsi="Calibri" w:cs="Calibri"/>
          <w:b/>
          <w:bCs/>
          <w:color w:val="000000"/>
          <w:kern w:val="0"/>
          <w:sz w:val="22"/>
          <w:szCs w:val="22"/>
          <w:lang w:eastAsia="it-IT"/>
          <w14:ligatures w14:val="none"/>
        </w:rPr>
        <w:t xml:space="preserve">LE PRESENZE IN EMILIA-ROMAGNA </w:t>
      </w:r>
      <w:r>
        <w:rPr>
          <w:rFonts w:ascii="Calibri" w:eastAsia="Times New Roman" w:hAnsi="Calibri" w:cs="Calibri"/>
          <w:b/>
          <w:bCs/>
          <w:color w:val="000000"/>
          <w:kern w:val="0"/>
          <w:sz w:val="22"/>
          <w:szCs w:val="22"/>
          <w:lang w:eastAsia="it-IT"/>
          <w14:ligatures w14:val="none"/>
        </w:rPr>
        <w:t>PESANO</w:t>
      </w:r>
      <w:r w:rsidR="001C1A09" w:rsidRPr="001C1A09">
        <w:rPr>
          <w:rFonts w:ascii="Calibri" w:eastAsia="Times New Roman" w:hAnsi="Calibri" w:cs="Calibri"/>
          <w:b/>
          <w:bCs/>
          <w:color w:val="000000"/>
          <w:kern w:val="0"/>
          <w:sz w:val="22"/>
          <w:szCs w:val="22"/>
          <w:lang w:eastAsia="it-IT"/>
          <w14:ligatures w14:val="none"/>
        </w:rPr>
        <w:t xml:space="preserve"> IL 13,3% DEL TOTALE</w:t>
      </w:r>
    </w:p>
    <w:p w14:paraId="3414E645" w14:textId="77777777" w:rsidR="001966BE" w:rsidRDefault="001C1A09" w:rsidP="005F15D1">
      <w:pPr>
        <w:spacing w:after="0" w:line="240" w:lineRule="auto"/>
        <w:jc w:val="both"/>
        <w:rPr>
          <w:rFonts w:ascii="Calibri" w:eastAsia="Times New Roman" w:hAnsi="Calibri" w:cs="Calibri"/>
          <w:color w:val="000000"/>
          <w:kern w:val="0"/>
          <w:sz w:val="22"/>
          <w:szCs w:val="22"/>
          <w:lang w:eastAsia="it-IT"/>
          <w14:ligatures w14:val="none"/>
        </w:rPr>
      </w:pPr>
      <w:r w:rsidRPr="001C1A09">
        <w:rPr>
          <w:rFonts w:ascii="Calibri" w:eastAsia="Times New Roman" w:hAnsi="Calibri" w:cs="Calibri"/>
          <w:color w:val="000000"/>
          <w:kern w:val="0"/>
          <w:sz w:val="22"/>
          <w:szCs w:val="22"/>
          <w:lang w:eastAsia="it-IT"/>
          <w14:ligatures w14:val="none"/>
        </w:rPr>
        <w:t>La prima rilevazione dedicata al turismo congressuale in Emilia-Romagna è stata presentata dall’Osservatorio Italiano Congressi ed Eventi</w:t>
      </w:r>
      <w:r w:rsidRPr="00AA2024">
        <w:rPr>
          <w:rFonts w:ascii="Calibri" w:eastAsia="Times New Roman" w:hAnsi="Calibri" w:cs="Calibri"/>
          <w:color w:val="000000"/>
          <w:kern w:val="0"/>
          <w:sz w:val="22"/>
          <w:szCs w:val="22"/>
          <w:lang w:eastAsia="it-IT"/>
          <w14:ligatures w14:val="none"/>
        </w:rPr>
        <w:t>, durante TTG Travel Experience e</w:t>
      </w:r>
      <w:r w:rsidRPr="00AA2024">
        <w:rPr>
          <w:rStyle w:val="Enfasigrassetto"/>
          <w:rFonts w:ascii="Calibri" w:hAnsi="Calibri" w:cs="Calibri"/>
          <w:color w:val="000000"/>
          <w:sz w:val="22"/>
          <w:szCs w:val="22"/>
        </w:rPr>
        <w:t xml:space="preserve"> </w:t>
      </w:r>
      <w:r w:rsidRPr="00AA2024">
        <w:rPr>
          <w:rStyle w:val="Enfasigrassetto"/>
          <w:rFonts w:ascii="Calibri" w:hAnsi="Calibri" w:cs="Calibri"/>
          <w:b w:val="0"/>
          <w:bCs w:val="0"/>
          <w:color w:val="000000"/>
          <w:sz w:val="22"/>
          <w:szCs w:val="22"/>
        </w:rPr>
        <w:t>InOut | The Hospitality Community</w:t>
      </w:r>
      <w:r w:rsidRPr="00AA2024">
        <w:rPr>
          <w:rFonts w:ascii="Calibri" w:hAnsi="Calibri" w:cs="Calibri"/>
          <w:color w:val="000000"/>
          <w:sz w:val="22"/>
          <w:szCs w:val="22"/>
        </w:rPr>
        <w:t xml:space="preserve">. </w:t>
      </w:r>
      <w:r w:rsidRPr="001C1A09">
        <w:rPr>
          <w:rFonts w:ascii="Calibri" w:eastAsia="Times New Roman" w:hAnsi="Calibri" w:cs="Calibri"/>
          <w:color w:val="000000"/>
          <w:kern w:val="0"/>
          <w:sz w:val="22"/>
          <w:szCs w:val="22"/>
          <w:lang w:eastAsia="it-IT"/>
          <w14:ligatures w14:val="none"/>
        </w:rPr>
        <w:t>Il settore ha prodotto nel 2024 ben 6.440.357 presenze con 3.729.685 partecipanti in 42mila eventi, per 63.721 giornate congressuali. Negli alberghi regionali le presenze congressuali pesano per il 13,3%.</w:t>
      </w:r>
      <w:r w:rsidR="00344650">
        <w:rPr>
          <w:rFonts w:ascii="Calibri" w:eastAsia="Times New Roman" w:hAnsi="Calibri" w:cs="Calibri"/>
          <w:color w:val="000000"/>
          <w:kern w:val="0"/>
          <w:sz w:val="22"/>
          <w:szCs w:val="22"/>
          <w:lang w:eastAsia="it-IT"/>
          <w14:ligatures w14:val="none"/>
        </w:rPr>
        <w:t xml:space="preserve"> </w:t>
      </w:r>
    </w:p>
    <w:p w14:paraId="6E5C8A17" w14:textId="3101FB5D" w:rsidR="001C1A09" w:rsidRPr="001C1A09" w:rsidRDefault="001C1A09" w:rsidP="005F15D1">
      <w:pPr>
        <w:spacing w:after="0" w:line="240" w:lineRule="auto"/>
        <w:jc w:val="both"/>
        <w:rPr>
          <w:rFonts w:ascii="Calibri" w:eastAsia="Times New Roman" w:hAnsi="Calibri" w:cs="Calibri"/>
          <w:color w:val="000000"/>
          <w:kern w:val="0"/>
          <w:sz w:val="22"/>
          <w:szCs w:val="22"/>
          <w:lang w:eastAsia="it-IT"/>
          <w14:ligatures w14:val="none"/>
        </w:rPr>
      </w:pPr>
      <w:r w:rsidRPr="001C1A09">
        <w:rPr>
          <w:rFonts w:ascii="Calibri" w:eastAsia="Times New Roman" w:hAnsi="Calibri" w:cs="Calibri"/>
          <w:color w:val="000000"/>
          <w:kern w:val="0"/>
          <w:sz w:val="22"/>
          <w:szCs w:val="22"/>
          <w:lang w:eastAsia="it-IT"/>
          <w14:ligatures w14:val="none"/>
        </w:rPr>
        <w:t>Il focus, concentrato sui due poli congressuali maggiori, Bologna e Rimini, ha messo in evidenza il corposo numero di sedi per il turismo business: 138 a Bologna e 108 a Rimini. 499 quelle complessive in regione. Numeri che danno impulso all’eccezionale risultato del Paese, ora secondo al mondo secondo il ranking ICCA per congressi ospitati, dopo gli USA.</w:t>
      </w:r>
    </w:p>
    <w:p w14:paraId="4FFF3EC8" w14:textId="4E1A4F2A" w:rsidR="001C1A09" w:rsidRPr="001C1A09" w:rsidRDefault="001C1A09" w:rsidP="005F15D1">
      <w:pPr>
        <w:spacing w:after="0" w:line="240" w:lineRule="auto"/>
        <w:jc w:val="both"/>
        <w:rPr>
          <w:rFonts w:ascii="Calibri" w:eastAsia="Times New Roman" w:hAnsi="Calibri" w:cs="Calibri"/>
          <w:color w:val="000000"/>
          <w:kern w:val="0"/>
          <w:sz w:val="22"/>
          <w:szCs w:val="22"/>
          <w:lang w:eastAsia="it-IT"/>
          <w14:ligatures w14:val="none"/>
        </w:rPr>
      </w:pPr>
      <w:r w:rsidRPr="001C1A09">
        <w:rPr>
          <w:rFonts w:ascii="Calibri" w:eastAsia="Times New Roman" w:hAnsi="Calibri" w:cs="Calibri"/>
          <w:color w:val="000000"/>
          <w:kern w:val="0"/>
          <w:sz w:val="22"/>
          <w:szCs w:val="22"/>
          <w:lang w:eastAsia="it-IT"/>
          <w14:ligatures w14:val="none"/>
        </w:rPr>
        <w:t>I dati, illustrati da Gabriella Gentile</w:t>
      </w:r>
      <w:r w:rsidR="001966BE">
        <w:rPr>
          <w:rFonts w:ascii="Calibri" w:eastAsia="Times New Roman" w:hAnsi="Calibri" w:cs="Calibri"/>
          <w:color w:val="000000"/>
          <w:kern w:val="0"/>
          <w:sz w:val="22"/>
          <w:szCs w:val="22"/>
          <w:lang w:eastAsia="it-IT"/>
          <w14:ligatures w14:val="none"/>
        </w:rPr>
        <w:t>, p</w:t>
      </w:r>
      <w:r w:rsidRPr="001C1A09">
        <w:rPr>
          <w:rFonts w:ascii="Calibri" w:eastAsia="Times New Roman" w:hAnsi="Calibri" w:cs="Calibri"/>
          <w:color w:val="000000"/>
          <w:kern w:val="0"/>
          <w:sz w:val="22"/>
          <w:szCs w:val="22"/>
          <w:lang w:eastAsia="it-IT"/>
          <w14:ligatures w14:val="none"/>
        </w:rPr>
        <w:t>residente di Federcongressi Italia, sono stati commentati dall’</w:t>
      </w:r>
      <w:r w:rsidR="001966BE">
        <w:rPr>
          <w:rFonts w:ascii="Calibri" w:eastAsia="Times New Roman" w:hAnsi="Calibri" w:cs="Calibri"/>
          <w:color w:val="000000"/>
          <w:kern w:val="0"/>
          <w:sz w:val="22"/>
          <w:szCs w:val="22"/>
          <w:lang w:eastAsia="it-IT"/>
          <w14:ligatures w14:val="none"/>
        </w:rPr>
        <w:t>a</w:t>
      </w:r>
      <w:r w:rsidRPr="001C1A09">
        <w:rPr>
          <w:rFonts w:ascii="Calibri" w:eastAsia="Times New Roman" w:hAnsi="Calibri" w:cs="Calibri"/>
          <w:color w:val="000000"/>
          <w:kern w:val="0"/>
          <w:sz w:val="22"/>
          <w:szCs w:val="22"/>
          <w:lang w:eastAsia="it-IT"/>
          <w14:ligatures w14:val="none"/>
        </w:rPr>
        <w:t xml:space="preserve">ssessora regionale al Turismo, Roberta Frisoni e dai responsabili delle strutture che fanno capo </w:t>
      </w:r>
      <w:proofErr w:type="gramStart"/>
      <w:r w:rsidRPr="001C1A09">
        <w:rPr>
          <w:rFonts w:ascii="Calibri" w:eastAsia="Times New Roman" w:hAnsi="Calibri" w:cs="Calibri"/>
          <w:color w:val="000000"/>
          <w:kern w:val="0"/>
          <w:sz w:val="22"/>
          <w:szCs w:val="22"/>
          <w:lang w:eastAsia="it-IT"/>
          <w14:ligatures w14:val="none"/>
        </w:rPr>
        <w:t>alla meeting industry</w:t>
      </w:r>
      <w:proofErr w:type="gramEnd"/>
      <w:r w:rsidRPr="001C1A09">
        <w:rPr>
          <w:rFonts w:ascii="Calibri" w:eastAsia="Times New Roman" w:hAnsi="Calibri" w:cs="Calibri"/>
          <w:color w:val="000000"/>
          <w:kern w:val="0"/>
          <w:sz w:val="22"/>
          <w:szCs w:val="22"/>
          <w:lang w:eastAsia="it-IT"/>
          <w14:ligatures w14:val="none"/>
        </w:rPr>
        <w:t xml:space="preserve"> delle due città, Patrik Romano</w:t>
      </w:r>
      <w:r w:rsidR="001966BE">
        <w:rPr>
          <w:rFonts w:ascii="Calibri" w:eastAsia="Times New Roman" w:hAnsi="Calibri" w:cs="Calibri"/>
          <w:color w:val="000000"/>
          <w:kern w:val="0"/>
          <w:sz w:val="22"/>
          <w:szCs w:val="22"/>
          <w:lang w:eastAsia="it-IT"/>
          <w14:ligatures w14:val="none"/>
        </w:rPr>
        <w:t>,</w:t>
      </w:r>
      <w:r w:rsidRPr="001C1A09">
        <w:rPr>
          <w:rFonts w:ascii="Calibri" w:eastAsia="Times New Roman" w:hAnsi="Calibri" w:cs="Calibri"/>
          <w:color w:val="000000"/>
          <w:kern w:val="0"/>
          <w:sz w:val="22"/>
          <w:szCs w:val="22"/>
          <w:lang w:eastAsia="it-IT"/>
          <w14:ligatures w14:val="none"/>
        </w:rPr>
        <w:t xml:space="preserve"> direttore generale Fondazione Bologna Welcome e Fabio De Santis</w:t>
      </w:r>
      <w:r w:rsidR="005F15D1">
        <w:rPr>
          <w:rFonts w:ascii="Calibri" w:eastAsia="Times New Roman" w:hAnsi="Calibri" w:cs="Calibri"/>
          <w:color w:val="000000"/>
          <w:kern w:val="0"/>
          <w:sz w:val="22"/>
          <w:szCs w:val="22"/>
          <w:lang w:eastAsia="it-IT"/>
          <w14:ligatures w14:val="none"/>
        </w:rPr>
        <w:t>, d</w:t>
      </w:r>
      <w:r w:rsidRPr="001C1A09">
        <w:rPr>
          <w:rFonts w:ascii="Calibri" w:eastAsia="Times New Roman" w:hAnsi="Calibri" w:cs="Calibri"/>
          <w:color w:val="000000"/>
          <w:kern w:val="0"/>
          <w:sz w:val="22"/>
          <w:szCs w:val="22"/>
          <w:lang w:eastAsia="it-IT"/>
          <w14:ligatures w14:val="none"/>
        </w:rPr>
        <w:t>irettore eventi e congressi Italian Exhibition Group</w:t>
      </w:r>
      <w:r w:rsidR="001966BE">
        <w:rPr>
          <w:rFonts w:ascii="Calibri" w:eastAsia="Times New Roman" w:hAnsi="Calibri" w:cs="Calibri"/>
          <w:color w:val="000000"/>
          <w:kern w:val="0"/>
          <w:sz w:val="22"/>
          <w:szCs w:val="22"/>
          <w:lang w:eastAsia="it-IT"/>
          <w14:ligatures w14:val="none"/>
        </w:rPr>
        <w:t xml:space="preserve"> (IEG)</w:t>
      </w:r>
      <w:r w:rsidRPr="001C1A09">
        <w:rPr>
          <w:rFonts w:ascii="Calibri" w:eastAsia="Times New Roman" w:hAnsi="Calibri" w:cs="Calibri"/>
          <w:color w:val="000000"/>
          <w:kern w:val="0"/>
          <w:sz w:val="22"/>
          <w:szCs w:val="22"/>
          <w:lang w:eastAsia="it-IT"/>
          <w14:ligatures w14:val="none"/>
        </w:rPr>
        <w:t>.</w:t>
      </w:r>
      <w:r w:rsidR="00344650">
        <w:rPr>
          <w:rFonts w:ascii="Calibri" w:eastAsia="Times New Roman" w:hAnsi="Calibri" w:cs="Calibri"/>
          <w:color w:val="000000"/>
          <w:kern w:val="0"/>
          <w:sz w:val="22"/>
          <w:szCs w:val="22"/>
          <w:lang w:eastAsia="it-IT"/>
          <w14:ligatures w14:val="none"/>
        </w:rPr>
        <w:t xml:space="preserve"> </w:t>
      </w:r>
      <w:r w:rsidRPr="001C1A09">
        <w:rPr>
          <w:rFonts w:ascii="Calibri" w:eastAsia="Times New Roman" w:hAnsi="Calibri" w:cs="Calibri"/>
          <w:color w:val="000000"/>
          <w:kern w:val="0"/>
          <w:sz w:val="22"/>
          <w:szCs w:val="22"/>
          <w:lang w:eastAsia="it-IT"/>
          <w14:ligatures w14:val="none"/>
        </w:rPr>
        <w:t>All’unisono, hanno rilevato il valore dei risultati presentati, ma anche la volontà di lavorare insieme per mettere a punto una proposta regionale che viaggi insieme coi vari territori protagonisti secondo le specificità. Ciò perché sui mercati internazionali, la proposta globale dell’Emilia-Romagna con i suoi scrigni di bellezze e tradizioni, è il naturale e più efficace interlocutore.</w:t>
      </w:r>
    </w:p>
    <w:p w14:paraId="6E4EA1EF" w14:textId="77777777" w:rsidR="007F5CDA" w:rsidRDefault="007F5CDA" w:rsidP="007F5CDA">
      <w:pPr>
        <w:spacing w:after="0" w:line="240" w:lineRule="auto"/>
        <w:jc w:val="both"/>
        <w:rPr>
          <w:rFonts w:ascii="Calibri" w:hAnsi="Calibri" w:cs="Calibri"/>
          <w:color w:val="000000"/>
          <w:sz w:val="22"/>
          <w:szCs w:val="22"/>
        </w:rPr>
      </w:pPr>
    </w:p>
    <w:p w14:paraId="2C270B5D" w14:textId="77777777" w:rsidR="005949AE" w:rsidRPr="00AA2024" w:rsidRDefault="005949AE" w:rsidP="005F15D1">
      <w:pPr>
        <w:spacing w:line="240" w:lineRule="auto"/>
        <w:contextualSpacing/>
        <w:jc w:val="both"/>
        <w:rPr>
          <w:rFonts w:ascii="Calibri" w:hAnsi="Calibri" w:cs="Calibri"/>
          <w:b/>
          <w:bCs/>
          <w:sz w:val="22"/>
          <w:szCs w:val="22"/>
        </w:rPr>
      </w:pPr>
      <w:r w:rsidRPr="00AA2024">
        <w:rPr>
          <w:rFonts w:ascii="Calibri" w:hAnsi="Calibri" w:cs="Calibri"/>
          <w:b/>
          <w:bCs/>
          <w:sz w:val="22"/>
          <w:szCs w:val="22"/>
        </w:rPr>
        <w:t xml:space="preserve">TRAVEL&amp;HOSPITALITY VISION: I NUOVI SCENARI DEL TURISMO E DEI CONSUMI FINO AL 2030 </w:t>
      </w:r>
    </w:p>
    <w:p w14:paraId="062C9C82" w14:textId="77777777" w:rsidR="007F5CDA" w:rsidRDefault="005949AE" w:rsidP="005F15D1">
      <w:pPr>
        <w:spacing w:before="100" w:beforeAutospacing="1" w:after="100" w:afterAutospacing="1" w:line="240" w:lineRule="auto"/>
        <w:contextualSpacing/>
        <w:jc w:val="both"/>
        <w:rPr>
          <w:rFonts w:ascii="Calibri" w:hAnsi="Calibri" w:cs="Calibri"/>
          <w:sz w:val="22"/>
          <w:szCs w:val="22"/>
        </w:rPr>
      </w:pPr>
      <w:r w:rsidRPr="00AA2024">
        <w:rPr>
          <w:rFonts w:ascii="Calibri" w:hAnsi="Calibri" w:cs="Calibri"/>
          <w:sz w:val="22"/>
          <w:szCs w:val="22"/>
        </w:rPr>
        <w:t xml:space="preserve">È stata presentata a TTG Travel Experience </w:t>
      </w:r>
      <w:r w:rsidRPr="00AA2024">
        <w:rPr>
          <w:rFonts w:ascii="Calibri" w:eastAsia="Times New Roman" w:hAnsi="Calibri" w:cs="Calibri"/>
          <w:color w:val="000000"/>
          <w:kern w:val="0"/>
          <w:sz w:val="22"/>
          <w:szCs w:val="22"/>
          <w:lang w:eastAsia="it-IT"/>
          <w14:ligatures w14:val="none"/>
        </w:rPr>
        <w:t>e</w:t>
      </w:r>
      <w:r w:rsidRPr="00AA2024">
        <w:rPr>
          <w:rStyle w:val="Enfasigrassetto"/>
          <w:rFonts w:ascii="Calibri" w:hAnsi="Calibri" w:cs="Calibri"/>
          <w:color w:val="000000"/>
          <w:sz w:val="22"/>
          <w:szCs w:val="22"/>
        </w:rPr>
        <w:t xml:space="preserve"> </w:t>
      </w:r>
      <w:r w:rsidRPr="00AA2024">
        <w:rPr>
          <w:rStyle w:val="Enfasigrassetto"/>
          <w:rFonts w:ascii="Calibri" w:hAnsi="Calibri" w:cs="Calibri"/>
          <w:b w:val="0"/>
          <w:bCs w:val="0"/>
          <w:color w:val="000000"/>
          <w:sz w:val="22"/>
          <w:szCs w:val="22"/>
        </w:rPr>
        <w:t>InOut | The Hospitality Community</w:t>
      </w:r>
      <w:r w:rsidRPr="00AA2024">
        <w:rPr>
          <w:rFonts w:ascii="Calibri" w:hAnsi="Calibri" w:cs="Calibri"/>
          <w:color w:val="000000"/>
          <w:sz w:val="22"/>
          <w:szCs w:val="22"/>
        </w:rPr>
        <w:t xml:space="preserve"> </w:t>
      </w:r>
      <w:r w:rsidRPr="00AA2024">
        <w:rPr>
          <w:rFonts w:ascii="Calibri" w:hAnsi="Calibri" w:cs="Calibri"/>
          <w:sz w:val="22"/>
          <w:szCs w:val="22"/>
        </w:rPr>
        <w:t xml:space="preserve">da Laura Rolle, docente ed esperta in semiotica applicata e tendenze di consumo, la nuova Travel&amp;Hospitality Vision +26 by TTG che anticipa i grandi scenari del turismo e dei consumi fino al 2030. </w:t>
      </w:r>
    </w:p>
    <w:p w14:paraId="77356B09" w14:textId="2817BB28" w:rsidR="00AA2024" w:rsidRPr="003B0ADD" w:rsidRDefault="005949AE" w:rsidP="005F15D1">
      <w:pPr>
        <w:spacing w:before="100" w:beforeAutospacing="1" w:after="100" w:afterAutospacing="1" w:line="240" w:lineRule="auto"/>
        <w:contextualSpacing/>
        <w:jc w:val="both"/>
        <w:rPr>
          <w:rFonts w:ascii="Calibri" w:eastAsia="Times New Roman" w:hAnsi="Calibri" w:cs="Calibri"/>
          <w:kern w:val="0"/>
          <w:lang w:eastAsia="it-IT"/>
          <w14:ligatures w14:val="none"/>
        </w:rPr>
      </w:pPr>
      <w:r w:rsidRPr="00AA2024">
        <w:rPr>
          <w:rFonts w:ascii="Calibri" w:hAnsi="Calibri" w:cs="Calibri"/>
          <w:sz w:val="22"/>
          <w:szCs w:val="22"/>
        </w:rPr>
        <w:t xml:space="preserve">La ricerca individua i Deep Trend®️ elaborati da Blue Eggs, forme di pensiero collettive che durano 3-5 anni e orientano le scelte delle persone ben oltre i dati. In questo scenario prendono forma i cinque Deep Trend®️ elaborati da Blue Eggs: Forward to re-naturing (una spinta verso la rinaturalizzazione e l’armonia con la tecnologia), Authenti-care (cura dei rapporti autentici e del valore della privacy), I want to belong (rinnovato desiderio di appartenenza), As a living system (pensare e agire come parte di un sistema interconnesso) ed </w:t>
      </w:r>
      <w:r w:rsidR="004F075A" w:rsidRPr="004F075A">
        <w:rPr>
          <w:rFonts w:ascii="Calibri" w:hAnsi="Calibri" w:cs="Calibri"/>
          <w:sz w:val="22"/>
          <w:szCs w:val="22"/>
        </w:rPr>
        <w:t>Eternal memories (valorizzazione di forme e simboli senza tempo</w:t>
      </w:r>
      <w:r w:rsidR="004F075A">
        <w:rPr>
          <w:rFonts w:ascii="Calibri" w:hAnsi="Calibri" w:cs="Calibri"/>
          <w:sz w:val="22"/>
          <w:szCs w:val="22"/>
        </w:rPr>
        <w:t>).</w:t>
      </w:r>
    </w:p>
    <w:p w14:paraId="73FE5AF3" w14:textId="77777777" w:rsidR="00AA2024" w:rsidRPr="005F15D1" w:rsidRDefault="00AA2024" w:rsidP="005F15D1">
      <w:pPr>
        <w:jc w:val="both"/>
        <w:rPr>
          <w:b/>
          <w:bCs/>
          <w:sz w:val="18"/>
          <w:szCs w:val="18"/>
        </w:rPr>
      </w:pPr>
    </w:p>
    <w:p w14:paraId="575826F0" w14:textId="354D5D3A" w:rsidR="00AA2024" w:rsidRPr="007F5CDA" w:rsidRDefault="00AA2024" w:rsidP="005F15D1">
      <w:pPr>
        <w:jc w:val="both"/>
        <w:rPr>
          <w:rFonts w:ascii="Calibri" w:hAnsi="Calibri" w:cs="Calibri"/>
          <w:b/>
          <w:bCs/>
          <w:sz w:val="18"/>
          <w:szCs w:val="18"/>
          <w:lang w:val="en-US"/>
        </w:rPr>
      </w:pPr>
      <w:r w:rsidRPr="007F5CDA">
        <w:rPr>
          <w:rFonts w:ascii="Calibri" w:hAnsi="Calibri" w:cs="Calibri"/>
          <w:b/>
          <w:bCs/>
          <w:sz w:val="18"/>
          <w:szCs w:val="18"/>
          <w:lang w:val="en-US"/>
        </w:rPr>
        <w:lastRenderedPageBreak/>
        <w:t>ABOUT TTG TRAVEL EXPERIENCE – INOUT | The Hospitality Community</w:t>
      </w:r>
    </w:p>
    <w:p w14:paraId="6BDAA9F7" w14:textId="77777777" w:rsidR="00AA2024" w:rsidRPr="007F5CDA" w:rsidRDefault="00AA2024" w:rsidP="005F15D1">
      <w:pPr>
        <w:jc w:val="both"/>
        <w:rPr>
          <w:rFonts w:ascii="Calibri" w:hAnsi="Calibri" w:cs="Calibri"/>
          <w:sz w:val="18"/>
          <w:szCs w:val="18"/>
        </w:rPr>
      </w:pPr>
      <w:r w:rsidRPr="007F5CDA">
        <w:rPr>
          <w:rFonts w:ascii="Calibri" w:hAnsi="Calibri" w:cs="Calibri"/>
          <w:b/>
          <w:bCs/>
          <w:sz w:val="18"/>
          <w:szCs w:val="18"/>
        </w:rPr>
        <w:t>Evento</w:t>
      </w:r>
      <w:r w:rsidRPr="007F5CDA">
        <w:rPr>
          <w:rFonts w:ascii="Calibri" w:hAnsi="Calibri" w:cs="Calibri"/>
          <w:sz w:val="18"/>
          <w:szCs w:val="18"/>
        </w:rPr>
        <w:t xml:space="preserve">: fiera internazionale; </w:t>
      </w:r>
      <w:r w:rsidRPr="007F5CDA">
        <w:rPr>
          <w:rFonts w:ascii="Calibri" w:hAnsi="Calibri" w:cs="Calibri"/>
          <w:b/>
          <w:bCs/>
          <w:sz w:val="18"/>
          <w:szCs w:val="18"/>
        </w:rPr>
        <w:t>organizzatore</w:t>
      </w:r>
      <w:r w:rsidRPr="007F5CDA">
        <w:rPr>
          <w:rFonts w:ascii="Calibri" w:hAnsi="Calibri" w:cs="Calibri"/>
          <w:sz w:val="18"/>
          <w:szCs w:val="18"/>
        </w:rPr>
        <w:t xml:space="preserve">: Italian Exhibition Group SpA; </w:t>
      </w:r>
      <w:r w:rsidRPr="007F5CDA">
        <w:rPr>
          <w:rFonts w:ascii="Calibri" w:hAnsi="Calibri" w:cs="Calibri"/>
          <w:b/>
          <w:bCs/>
          <w:sz w:val="18"/>
          <w:szCs w:val="18"/>
        </w:rPr>
        <w:t>frequenza</w:t>
      </w:r>
      <w:r w:rsidRPr="007F5CDA">
        <w:rPr>
          <w:rFonts w:ascii="Calibri" w:hAnsi="Calibri" w:cs="Calibri"/>
          <w:sz w:val="18"/>
          <w:szCs w:val="18"/>
        </w:rPr>
        <w:t xml:space="preserve">: annuale; </w:t>
      </w:r>
      <w:r w:rsidRPr="007F5CDA">
        <w:rPr>
          <w:rFonts w:ascii="Calibri" w:hAnsi="Calibri" w:cs="Calibri"/>
          <w:b/>
          <w:bCs/>
          <w:sz w:val="18"/>
          <w:szCs w:val="18"/>
        </w:rPr>
        <w:t>edizione</w:t>
      </w:r>
      <w:r w:rsidRPr="007F5CDA">
        <w:rPr>
          <w:rFonts w:ascii="Calibri" w:hAnsi="Calibri" w:cs="Calibri"/>
          <w:sz w:val="18"/>
          <w:szCs w:val="18"/>
        </w:rPr>
        <w:t xml:space="preserve">: 62ª; </w:t>
      </w:r>
      <w:r w:rsidRPr="007F5CDA">
        <w:rPr>
          <w:rFonts w:ascii="Calibri" w:hAnsi="Calibri" w:cs="Calibri"/>
          <w:b/>
          <w:bCs/>
          <w:sz w:val="18"/>
          <w:szCs w:val="18"/>
        </w:rPr>
        <w:t>accesso</w:t>
      </w:r>
      <w:r w:rsidRPr="007F5CDA">
        <w:rPr>
          <w:rFonts w:ascii="Calibri" w:hAnsi="Calibri" w:cs="Calibri"/>
          <w:sz w:val="18"/>
          <w:szCs w:val="18"/>
        </w:rPr>
        <w:t xml:space="preserve">: riservato esclusivamente agli operatori professionali; </w:t>
      </w:r>
      <w:r w:rsidRPr="007F5CDA">
        <w:rPr>
          <w:rFonts w:ascii="Calibri" w:hAnsi="Calibri" w:cs="Calibri"/>
          <w:b/>
          <w:bCs/>
          <w:sz w:val="18"/>
          <w:szCs w:val="18"/>
        </w:rPr>
        <w:t>website</w:t>
      </w:r>
      <w:r w:rsidRPr="007F5CDA">
        <w:rPr>
          <w:rFonts w:ascii="Calibri" w:hAnsi="Calibri" w:cs="Calibri"/>
          <w:sz w:val="18"/>
          <w:szCs w:val="18"/>
        </w:rPr>
        <w:t>: </w:t>
      </w:r>
      <w:hyperlink r:id="rId6" w:tooltip="´web" w:history="1">
        <w:r w:rsidRPr="007F5CDA">
          <w:rPr>
            <w:rStyle w:val="Collegamentoipertestuale"/>
            <w:rFonts w:ascii="Calibri" w:hAnsi="Calibri" w:cs="Calibri"/>
            <w:sz w:val="18"/>
            <w:szCs w:val="18"/>
          </w:rPr>
          <w:t>www.ttgexpo.it</w:t>
        </w:r>
      </w:hyperlink>
      <w:r w:rsidRPr="007F5CDA">
        <w:rPr>
          <w:rFonts w:ascii="Calibri" w:hAnsi="Calibri" w:cs="Calibri"/>
          <w:sz w:val="18"/>
          <w:szCs w:val="18"/>
        </w:rPr>
        <w:t xml:space="preserve"> - #ttgexpo </w:t>
      </w:r>
    </w:p>
    <w:p w14:paraId="3EB74E55" w14:textId="77777777" w:rsidR="00AA2024" w:rsidRPr="007F5CDA" w:rsidRDefault="00AA2024" w:rsidP="005F15D1">
      <w:pPr>
        <w:jc w:val="both"/>
        <w:rPr>
          <w:rFonts w:ascii="Calibri" w:hAnsi="Calibri" w:cs="Calibri"/>
          <w:b/>
          <w:bCs/>
          <w:sz w:val="18"/>
          <w:szCs w:val="18"/>
          <w:lang w:val="en-US"/>
        </w:rPr>
      </w:pPr>
      <w:r w:rsidRPr="007F5CDA">
        <w:rPr>
          <w:rFonts w:ascii="Calibri" w:hAnsi="Calibri" w:cs="Calibri"/>
          <w:b/>
          <w:bCs/>
          <w:sz w:val="18"/>
          <w:szCs w:val="18"/>
          <w:lang w:val="en-US"/>
        </w:rPr>
        <w:t>PRESS CONTACT IEG, TTG TRAVEL EXPERIENCE</w:t>
      </w:r>
    </w:p>
    <w:p w14:paraId="1944F869" w14:textId="77777777" w:rsidR="00AA2024" w:rsidRPr="009A72F0" w:rsidRDefault="00AA2024" w:rsidP="005F15D1">
      <w:pPr>
        <w:jc w:val="both"/>
        <w:rPr>
          <w:rFonts w:ascii="Calibri" w:hAnsi="Calibri" w:cs="Calibri"/>
          <w:sz w:val="18"/>
          <w:szCs w:val="18"/>
        </w:rPr>
      </w:pPr>
      <w:r w:rsidRPr="009A72F0">
        <w:rPr>
          <w:rFonts w:ascii="Calibri" w:hAnsi="Calibri" w:cs="Calibri"/>
          <w:sz w:val="18"/>
          <w:szCs w:val="18"/>
        </w:rPr>
        <w:t>Elisabetta Vitali, head of corporate communication &amp; media relation; Marco Forcellini, Pier Francesco Bellini, press office manager</w:t>
      </w:r>
    </w:p>
    <w:p w14:paraId="05FA8C58" w14:textId="77777777" w:rsidR="00AA2024" w:rsidRPr="007F5CDA" w:rsidRDefault="00AA2024" w:rsidP="005F15D1">
      <w:pPr>
        <w:jc w:val="both"/>
        <w:rPr>
          <w:rFonts w:ascii="Calibri" w:hAnsi="Calibri" w:cs="Calibri"/>
          <w:sz w:val="18"/>
          <w:szCs w:val="18"/>
          <w:u w:val="single"/>
          <w:lang w:val="en-US"/>
        </w:rPr>
      </w:pPr>
      <w:hyperlink r:id="rId7" w:history="1">
        <w:r w:rsidRPr="007F5CDA">
          <w:rPr>
            <w:rStyle w:val="Collegamentoipertestuale"/>
            <w:rFonts w:ascii="Calibri" w:hAnsi="Calibri" w:cs="Calibri"/>
            <w:sz w:val="18"/>
            <w:szCs w:val="18"/>
            <w:lang w:val="en-US"/>
          </w:rPr>
          <w:t>media@iegexpo.it</w:t>
        </w:r>
      </w:hyperlink>
    </w:p>
    <w:p w14:paraId="77E6C848" w14:textId="77777777" w:rsidR="00AA2024" w:rsidRPr="007F5CDA" w:rsidRDefault="00AA2024" w:rsidP="005F15D1">
      <w:pPr>
        <w:jc w:val="both"/>
        <w:rPr>
          <w:rFonts w:ascii="Calibri" w:hAnsi="Calibri" w:cs="Calibri"/>
          <w:sz w:val="18"/>
          <w:szCs w:val="18"/>
          <w:u w:val="single"/>
          <w:lang w:val="en-US"/>
        </w:rPr>
      </w:pPr>
      <w:r w:rsidRPr="007F5CDA">
        <w:rPr>
          <w:rFonts w:ascii="Calibri" w:hAnsi="Calibri" w:cs="Calibri"/>
          <w:b/>
          <w:bCs/>
          <w:sz w:val="18"/>
          <w:szCs w:val="18"/>
          <w:lang w:val="en-US"/>
        </w:rPr>
        <w:t>MEDIA AGENCY TTG TRAVEL EXPERIENCE</w:t>
      </w:r>
    </w:p>
    <w:p w14:paraId="6B9E7AD3" w14:textId="77777777" w:rsidR="00AA2024" w:rsidRPr="007F5CDA" w:rsidRDefault="00AA2024" w:rsidP="005F15D1">
      <w:pPr>
        <w:jc w:val="both"/>
        <w:rPr>
          <w:rFonts w:ascii="Calibri" w:hAnsi="Calibri" w:cs="Calibri"/>
          <w:sz w:val="18"/>
          <w:szCs w:val="18"/>
          <w:u w:val="single"/>
        </w:rPr>
      </w:pPr>
      <w:r w:rsidRPr="007F5CDA">
        <w:rPr>
          <w:rFonts w:ascii="Calibri" w:hAnsi="Calibri" w:cs="Calibri"/>
          <w:sz w:val="18"/>
          <w:szCs w:val="18"/>
        </w:rPr>
        <w:t xml:space="preserve">Martina Vacca: </w:t>
      </w:r>
      <w:hyperlink r:id="rId8" w:history="1">
        <w:r w:rsidRPr="007F5CDA">
          <w:rPr>
            <w:rStyle w:val="Collegamentoipertestuale"/>
            <w:rFonts w:ascii="Calibri" w:hAnsi="Calibri" w:cs="Calibri"/>
            <w:sz w:val="18"/>
            <w:szCs w:val="18"/>
          </w:rPr>
          <w:t>martina@mindthepop.it</w:t>
        </w:r>
      </w:hyperlink>
      <w:r w:rsidRPr="007F5CDA">
        <w:rPr>
          <w:rFonts w:ascii="Calibri" w:hAnsi="Calibri" w:cs="Calibri"/>
          <w:sz w:val="18"/>
          <w:szCs w:val="18"/>
        </w:rPr>
        <w:t xml:space="preserve">, mob. +39 339 748 5994; Fabrizio Raimondi: </w:t>
      </w:r>
      <w:hyperlink r:id="rId9" w:history="1">
        <w:r w:rsidRPr="007F5CDA">
          <w:rPr>
            <w:rStyle w:val="Collegamentoipertestuale"/>
            <w:rFonts w:ascii="Calibri" w:hAnsi="Calibri" w:cs="Calibri"/>
            <w:sz w:val="18"/>
            <w:szCs w:val="18"/>
          </w:rPr>
          <w:t>fabrizio@mindthepop.it</w:t>
        </w:r>
      </w:hyperlink>
      <w:r w:rsidRPr="007F5CDA">
        <w:rPr>
          <w:rFonts w:ascii="Calibri" w:hAnsi="Calibri" w:cs="Calibri"/>
          <w:sz w:val="18"/>
          <w:szCs w:val="18"/>
        </w:rPr>
        <w:t xml:space="preserve">, mob. +39 335 389 848; Benedetto Colli: </w:t>
      </w:r>
      <w:hyperlink r:id="rId10" w:history="1">
        <w:r w:rsidRPr="007F5CDA">
          <w:rPr>
            <w:rStyle w:val="Collegamentoipertestuale"/>
            <w:rFonts w:ascii="Calibri" w:hAnsi="Calibri" w:cs="Calibri"/>
            <w:sz w:val="18"/>
            <w:szCs w:val="18"/>
          </w:rPr>
          <w:t>benedetto@mindthepop.it</w:t>
        </w:r>
      </w:hyperlink>
      <w:r w:rsidRPr="007F5CDA">
        <w:rPr>
          <w:rFonts w:ascii="Calibri" w:hAnsi="Calibri" w:cs="Calibri"/>
          <w:sz w:val="18"/>
          <w:szCs w:val="18"/>
        </w:rPr>
        <w:t xml:space="preserve">, mob. 380 371 2272; Stefano Chiossi: </w:t>
      </w:r>
      <w:hyperlink r:id="rId11" w:history="1">
        <w:r w:rsidRPr="007F5CDA">
          <w:rPr>
            <w:rStyle w:val="Collegamentoipertestuale"/>
            <w:rFonts w:ascii="Calibri" w:hAnsi="Calibri" w:cs="Calibri"/>
            <w:sz w:val="18"/>
            <w:szCs w:val="18"/>
          </w:rPr>
          <w:t>stefano@mindthepop.it</w:t>
        </w:r>
      </w:hyperlink>
      <w:r w:rsidRPr="007F5CDA">
        <w:rPr>
          <w:rFonts w:ascii="Calibri" w:hAnsi="Calibri" w:cs="Calibri"/>
          <w:sz w:val="18"/>
          <w:szCs w:val="18"/>
        </w:rPr>
        <w:t>, mob. + 39 388 739 4358.</w:t>
      </w:r>
    </w:p>
    <w:p w14:paraId="39DAD67B" w14:textId="77777777" w:rsidR="00AA2024" w:rsidRPr="004E5E3A" w:rsidRDefault="00AA2024" w:rsidP="005F15D1">
      <w:pPr>
        <w:jc w:val="both"/>
      </w:pPr>
      <w:r w:rsidRPr="004E5E3A">
        <w:rPr>
          <w:noProof/>
        </w:rPr>
        <w:drawing>
          <wp:inline distT="0" distB="0" distL="0" distR="0" wp14:anchorId="31782A65" wp14:editId="69FF3CC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1B6300D5" w14:textId="77777777" w:rsidR="00AA2024" w:rsidRPr="00CC3B27" w:rsidRDefault="00AA2024" w:rsidP="005F15D1">
      <w:pPr>
        <w:jc w:val="both"/>
        <w:rPr>
          <w:sz w:val="16"/>
          <w:szCs w:val="16"/>
        </w:rPr>
      </w:pPr>
      <w:r w:rsidRPr="00CC3B27">
        <w:rPr>
          <w:sz w:val="16"/>
          <w:szCs w:val="16"/>
        </w:rPr>
        <w:t>Il presente comunicato stampa contiene elementi previsionali e stime che riflettono le attuali opinioni del management (“forward- 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A4DBCAE" w14:textId="21C54695" w:rsidR="001C1A09" w:rsidRPr="00AA2024" w:rsidRDefault="001C1A09" w:rsidP="005F15D1">
      <w:pPr>
        <w:contextualSpacing/>
        <w:jc w:val="both"/>
        <w:rPr>
          <w:rFonts w:ascii="Calibri" w:hAnsi="Calibri" w:cs="Calibri"/>
          <w:b/>
          <w:bCs/>
          <w:sz w:val="22"/>
          <w:szCs w:val="22"/>
        </w:rPr>
      </w:pPr>
    </w:p>
    <w:sectPr w:rsidR="001C1A09" w:rsidRPr="00AA2024">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72EC" w14:textId="77777777" w:rsidR="003C10AE" w:rsidRDefault="003C10AE" w:rsidP="001C1A09">
      <w:pPr>
        <w:spacing w:after="0" w:line="240" w:lineRule="auto"/>
      </w:pPr>
      <w:r>
        <w:separator/>
      </w:r>
    </w:p>
  </w:endnote>
  <w:endnote w:type="continuationSeparator" w:id="0">
    <w:p w14:paraId="7939F4C8" w14:textId="77777777" w:rsidR="003C10AE" w:rsidRDefault="003C10AE" w:rsidP="001C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56A9" w14:textId="77777777" w:rsidR="003C10AE" w:rsidRDefault="003C10AE" w:rsidP="001C1A09">
      <w:pPr>
        <w:spacing w:after="0" w:line="240" w:lineRule="auto"/>
      </w:pPr>
      <w:r>
        <w:separator/>
      </w:r>
    </w:p>
  </w:footnote>
  <w:footnote w:type="continuationSeparator" w:id="0">
    <w:p w14:paraId="60A6036B" w14:textId="77777777" w:rsidR="003C10AE" w:rsidRDefault="003C10AE" w:rsidP="001C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9C24" w14:textId="07865856" w:rsidR="001C1A09" w:rsidRDefault="001C1A09">
    <w:pPr>
      <w:pStyle w:val="Intestazione"/>
    </w:pPr>
    <w:r>
      <w:rPr>
        <w:noProof/>
      </w:rPr>
      <w:drawing>
        <wp:inline distT="0" distB="0" distL="0" distR="0" wp14:anchorId="47F79AB5" wp14:editId="4204C30A">
          <wp:extent cx="6120130" cy="735965"/>
          <wp:effectExtent l="0" t="0" r="1270" b="63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p w14:paraId="187D0F7E" w14:textId="77777777" w:rsidR="001C1A09" w:rsidRDefault="001C1A0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09"/>
    <w:rsid w:val="001966BE"/>
    <w:rsid w:val="001C1A09"/>
    <w:rsid w:val="001E3B30"/>
    <w:rsid w:val="00344650"/>
    <w:rsid w:val="003B2402"/>
    <w:rsid w:val="003B26C3"/>
    <w:rsid w:val="003C10AE"/>
    <w:rsid w:val="003D0AE6"/>
    <w:rsid w:val="004F075A"/>
    <w:rsid w:val="005949AE"/>
    <w:rsid w:val="005F15D1"/>
    <w:rsid w:val="00715804"/>
    <w:rsid w:val="007B70C9"/>
    <w:rsid w:val="007F5CDA"/>
    <w:rsid w:val="00812C43"/>
    <w:rsid w:val="009A72F0"/>
    <w:rsid w:val="00AA2024"/>
    <w:rsid w:val="00B61EC8"/>
    <w:rsid w:val="00C14DB0"/>
    <w:rsid w:val="00C7322B"/>
    <w:rsid w:val="00E90DF4"/>
    <w:rsid w:val="00F434F8"/>
    <w:rsid w:val="00F64278"/>
    <w:rsid w:val="00FA50C7"/>
    <w:rsid w:val="00FF5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3DF1"/>
  <w15:chartTrackingRefBased/>
  <w15:docId w15:val="{AF070FCA-E904-174C-81F7-F7E1886D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1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1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1A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1A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1A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1A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1A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1A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1A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A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1A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1A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1A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1A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1A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1A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1A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1A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1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1A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1A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1A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1A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1A09"/>
    <w:rPr>
      <w:i/>
      <w:iCs/>
      <w:color w:val="404040" w:themeColor="text1" w:themeTint="BF"/>
    </w:rPr>
  </w:style>
  <w:style w:type="paragraph" w:styleId="Paragrafoelenco">
    <w:name w:val="List Paragraph"/>
    <w:basedOn w:val="Normale"/>
    <w:uiPriority w:val="34"/>
    <w:qFormat/>
    <w:rsid w:val="001C1A09"/>
    <w:pPr>
      <w:ind w:left="720"/>
      <w:contextualSpacing/>
    </w:pPr>
  </w:style>
  <w:style w:type="character" w:styleId="Enfasiintensa">
    <w:name w:val="Intense Emphasis"/>
    <w:basedOn w:val="Carpredefinitoparagrafo"/>
    <w:uiPriority w:val="21"/>
    <w:qFormat/>
    <w:rsid w:val="001C1A09"/>
    <w:rPr>
      <w:i/>
      <w:iCs/>
      <w:color w:val="0F4761" w:themeColor="accent1" w:themeShade="BF"/>
    </w:rPr>
  </w:style>
  <w:style w:type="paragraph" w:styleId="Citazioneintensa">
    <w:name w:val="Intense Quote"/>
    <w:basedOn w:val="Normale"/>
    <w:next w:val="Normale"/>
    <w:link w:val="CitazioneintensaCarattere"/>
    <w:uiPriority w:val="30"/>
    <w:qFormat/>
    <w:rsid w:val="001C1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1A09"/>
    <w:rPr>
      <w:i/>
      <w:iCs/>
      <w:color w:val="0F4761" w:themeColor="accent1" w:themeShade="BF"/>
    </w:rPr>
  </w:style>
  <w:style w:type="character" w:styleId="Riferimentointenso">
    <w:name w:val="Intense Reference"/>
    <w:basedOn w:val="Carpredefinitoparagrafo"/>
    <w:uiPriority w:val="32"/>
    <w:qFormat/>
    <w:rsid w:val="001C1A09"/>
    <w:rPr>
      <w:b/>
      <w:bCs/>
      <w:smallCaps/>
      <w:color w:val="0F4761" w:themeColor="accent1" w:themeShade="BF"/>
      <w:spacing w:val="5"/>
    </w:rPr>
  </w:style>
  <w:style w:type="paragraph" w:styleId="Intestazione">
    <w:name w:val="header"/>
    <w:basedOn w:val="Normale"/>
    <w:link w:val="IntestazioneCarattere"/>
    <w:uiPriority w:val="99"/>
    <w:unhideWhenUsed/>
    <w:rsid w:val="001C1A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1A09"/>
  </w:style>
  <w:style w:type="paragraph" w:styleId="Pidipagina">
    <w:name w:val="footer"/>
    <w:basedOn w:val="Normale"/>
    <w:link w:val="PidipaginaCarattere"/>
    <w:uiPriority w:val="99"/>
    <w:unhideWhenUsed/>
    <w:rsid w:val="001C1A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1A09"/>
  </w:style>
  <w:style w:type="character" w:customStyle="1" w:styleId="apple-converted-space">
    <w:name w:val="apple-converted-space"/>
    <w:basedOn w:val="Carpredefinitoparagrafo"/>
    <w:rsid w:val="001C1A09"/>
  </w:style>
  <w:style w:type="character" w:styleId="Enfasigrassetto">
    <w:name w:val="Strong"/>
    <w:basedOn w:val="Carpredefinitoparagrafo"/>
    <w:uiPriority w:val="22"/>
    <w:qFormat/>
    <w:rsid w:val="001C1A09"/>
    <w:rPr>
      <w:b/>
      <w:bCs/>
    </w:rPr>
  </w:style>
  <w:style w:type="paragraph" w:styleId="NormaleWeb">
    <w:name w:val="Normal (Web)"/>
    <w:basedOn w:val="Normale"/>
    <w:uiPriority w:val="99"/>
    <w:unhideWhenUsed/>
    <w:rsid w:val="001C1A0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1C1A09"/>
    <w:rPr>
      <w:i/>
      <w:iCs/>
    </w:rPr>
  </w:style>
  <w:style w:type="character" w:styleId="Collegamentoipertestuale">
    <w:name w:val="Hyperlink"/>
    <w:basedOn w:val="Carpredefinitoparagrafo"/>
    <w:uiPriority w:val="99"/>
    <w:unhideWhenUsed/>
    <w:rsid w:val="00AA20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indthepop.it" TargetMode="External"/><Relationship Id="rId13" Type="http://schemas.openxmlformats.org/officeDocument/2006/relationships/image" Target="cid:image002.jpg@01DBBDB0.A6143EC0" TargetMode="External"/><Relationship Id="rId3" Type="http://schemas.openxmlformats.org/officeDocument/2006/relationships/webSettings" Target="webSettings.xml"/><Relationship Id="rId7" Type="http://schemas.openxmlformats.org/officeDocument/2006/relationships/hyperlink" Target="mailto:media@iegexpo.it"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vcww.dominio-fiera.local/gestionecww/template/%C2%B4http:/www.ttgexpo.it" TargetMode="External"/><Relationship Id="rId11" Type="http://schemas.openxmlformats.org/officeDocument/2006/relationships/hyperlink" Target="mailto:stefano@mindthepop.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enedetto@mindthepop.it" TargetMode="External"/><Relationship Id="rId4" Type="http://schemas.openxmlformats.org/officeDocument/2006/relationships/footnotes" Target="footnotes.xml"/><Relationship Id="rId9" Type="http://schemas.openxmlformats.org/officeDocument/2006/relationships/hyperlink" Target="mailto:fabrizio@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2025-10-09T12:20:00Z</dcterms:created>
  <dcterms:modified xsi:type="dcterms:W3CDTF">2025-10-09T12:20:00Z</dcterms:modified>
</cp:coreProperties>
</file>